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FBB9" w14:textId="77777777" w:rsidR="001B127F" w:rsidRPr="00E94DB9" w:rsidRDefault="00E94DB9" w:rsidP="00E94DB9">
      <w:pPr>
        <w:pStyle w:val="Abstract"/>
        <w:spacing w:line="360" w:lineRule="auto"/>
        <w:outlineLvl w:val="0"/>
        <w:rPr>
          <w:sz w:val="36"/>
          <w:szCs w:val="32"/>
        </w:rPr>
      </w:pPr>
      <w:r w:rsidRPr="00E94DB9">
        <w:rPr>
          <w:rFonts w:hint="eastAsia"/>
          <w:sz w:val="36"/>
          <w:szCs w:val="32"/>
        </w:rPr>
        <w:t>WCE 2</w:t>
      </w:r>
      <w:r w:rsidRPr="00E94DB9">
        <w:rPr>
          <w:sz w:val="36"/>
          <w:szCs w:val="32"/>
        </w:rPr>
        <w:t>023</w:t>
      </w:r>
      <w:r w:rsidRPr="00E94DB9">
        <w:rPr>
          <w:rFonts w:hint="eastAsia"/>
          <w:sz w:val="36"/>
          <w:szCs w:val="32"/>
        </w:rPr>
        <w:t xml:space="preserve"> </w:t>
      </w:r>
      <w:r w:rsidRPr="00E94DB9">
        <w:rPr>
          <w:rFonts w:hint="eastAsia"/>
          <w:sz w:val="36"/>
          <w:szCs w:val="32"/>
        </w:rPr>
        <w:t>民生電子研討會論文格式</w:t>
      </w: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E94DB9" w:rsidRPr="00E94DB9" w14:paraId="4934D9B9" w14:textId="77777777" w:rsidTr="00E94DB9">
        <w:trPr>
          <w:jc w:val="center"/>
        </w:trPr>
        <w:tc>
          <w:tcPr>
            <w:tcW w:w="2765" w:type="dxa"/>
            <w:vAlign w:val="center"/>
          </w:tcPr>
          <w:p w14:paraId="1F27CF50" w14:textId="77777777" w:rsidR="00E94DB9" w:rsidRPr="00AD7850" w:rsidRDefault="00E94DB9" w:rsidP="00E94DB9">
            <w:pPr>
              <w:snapToGrid w:val="0"/>
              <w:jc w:val="center"/>
              <w:rPr>
                <w:rFonts w:eastAsia="標楷體"/>
                <w:b/>
                <w:sz w:val="22"/>
              </w:rPr>
            </w:pPr>
            <w:r w:rsidRPr="00AD7850">
              <w:rPr>
                <w:rFonts w:eastAsia="標楷體" w:hint="eastAsia"/>
                <w:b/>
                <w:sz w:val="22"/>
              </w:rPr>
              <w:t>作者</w:t>
            </w:r>
            <w:r w:rsidRPr="00AD7850">
              <w:rPr>
                <w:rFonts w:eastAsia="標楷體" w:hint="eastAsia"/>
                <w:b/>
                <w:sz w:val="22"/>
                <w:vertAlign w:val="superscript"/>
              </w:rPr>
              <w:t>1</w:t>
            </w:r>
            <w:r w:rsidRPr="00AD7850">
              <w:rPr>
                <w:rFonts w:eastAsia="標楷體"/>
                <w:b/>
                <w:sz w:val="22"/>
                <w:vertAlign w:val="superscript"/>
              </w:rPr>
              <w:t>*</w:t>
            </w:r>
          </w:p>
        </w:tc>
        <w:tc>
          <w:tcPr>
            <w:tcW w:w="2765" w:type="dxa"/>
            <w:vAlign w:val="center"/>
          </w:tcPr>
          <w:p w14:paraId="5548E124" w14:textId="77777777" w:rsidR="00E94DB9" w:rsidRPr="00AD7850" w:rsidRDefault="00E94DB9" w:rsidP="00E94DB9">
            <w:pPr>
              <w:snapToGrid w:val="0"/>
              <w:jc w:val="center"/>
              <w:rPr>
                <w:rFonts w:eastAsia="標楷體"/>
                <w:b/>
                <w:sz w:val="22"/>
              </w:rPr>
            </w:pPr>
            <w:r w:rsidRPr="00AD7850">
              <w:rPr>
                <w:rFonts w:eastAsia="標楷體"/>
                <w:b/>
                <w:sz w:val="22"/>
              </w:rPr>
              <w:t>作者</w:t>
            </w:r>
            <w:r w:rsidRPr="00AD7850">
              <w:rPr>
                <w:rFonts w:eastAsia="標楷體"/>
                <w:b/>
                <w:sz w:val="22"/>
                <w:vertAlign w:val="superscript"/>
              </w:rPr>
              <w:t>1</w:t>
            </w:r>
          </w:p>
        </w:tc>
        <w:tc>
          <w:tcPr>
            <w:tcW w:w="2766" w:type="dxa"/>
            <w:vAlign w:val="center"/>
          </w:tcPr>
          <w:p w14:paraId="67F1FAF1" w14:textId="77777777" w:rsidR="00E94DB9" w:rsidRPr="00AD7850" w:rsidRDefault="00E94DB9" w:rsidP="00E94DB9">
            <w:pPr>
              <w:snapToGrid w:val="0"/>
              <w:jc w:val="center"/>
              <w:rPr>
                <w:rFonts w:eastAsia="標楷體"/>
                <w:b/>
                <w:sz w:val="22"/>
              </w:rPr>
            </w:pPr>
            <w:r w:rsidRPr="00AD7850">
              <w:rPr>
                <w:rFonts w:eastAsia="標楷體"/>
                <w:b/>
                <w:sz w:val="22"/>
              </w:rPr>
              <w:t>作者</w:t>
            </w:r>
            <w:r w:rsidRPr="00AD7850">
              <w:rPr>
                <w:rFonts w:eastAsia="標楷體" w:hint="eastAsia"/>
                <w:b/>
                <w:sz w:val="22"/>
                <w:vertAlign w:val="superscript"/>
              </w:rPr>
              <w:t>2</w:t>
            </w:r>
          </w:p>
        </w:tc>
      </w:tr>
      <w:tr w:rsidR="00E94DB9" w:rsidRPr="00E94DB9" w14:paraId="04EB5BC9" w14:textId="77777777" w:rsidTr="00E94DB9">
        <w:trPr>
          <w:jc w:val="center"/>
        </w:trPr>
        <w:tc>
          <w:tcPr>
            <w:tcW w:w="2765" w:type="dxa"/>
            <w:vAlign w:val="center"/>
          </w:tcPr>
          <w:p w14:paraId="0B9176CF" w14:textId="77777777" w:rsidR="00E94DB9" w:rsidRPr="00AD7850" w:rsidRDefault="00E94DB9" w:rsidP="00E94DB9">
            <w:pPr>
              <w:snapToGrid w:val="0"/>
              <w:jc w:val="center"/>
              <w:rPr>
                <w:rFonts w:eastAsia="標楷體"/>
                <w:b/>
                <w:sz w:val="22"/>
              </w:rPr>
            </w:pPr>
            <w:r w:rsidRPr="00AD7850">
              <w:rPr>
                <w:rFonts w:eastAsia="標楷體" w:hint="eastAsia"/>
                <w:b/>
                <w:sz w:val="22"/>
              </w:rPr>
              <w:t>服務單位</w:t>
            </w:r>
            <w:r w:rsidRPr="00AD7850">
              <w:rPr>
                <w:rFonts w:eastAsia="標楷體" w:hint="eastAsia"/>
                <w:b/>
                <w:sz w:val="22"/>
              </w:rPr>
              <w:t>/</w:t>
            </w:r>
            <w:r w:rsidRPr="00AD7850">
              <w:rPr>
                <w:rFonts w:eastAsia="標楷體" w:hint="eastAsia"/>
                <w:b/>
                <w:sz w:val="22"/>
              </w:rPr>
              <w:t>職稱</w:t>
            </w:r>
          </w:p>
        </w:tc>
        <w:tc>
          <w:tcPr>
            <w:tcW w:w="2765" w:type="dxa"/>
            <w:vAlign w:val="center"/>
          </w:tcPr>
          <w:p w14:paraId="6687AC8D" w14:textId="77777777" w:rsidR="00E94DB9" w:rsidRPr="00AD7850" w:rsidRDefault="00E94DB9" w:rsidP="00E94DB9">
            <w:pPr>
              <w:snapToGrid w:val="0"/>
              <w:jc w:val="center"/>
              <w:rPr>
                <w:rFonts w:eastAsia="標楷體"/>
                <w:b/>
                <w:sz w:val="22"/>
              </w:rPr>
            </w:pPr>
            <w:r w:rsidRPr="00AD7850">
              <w:rPr>
                <w:rFonts w:eastAsia="標楷體" w:hint="eastAsia"/>
                <w:b/>
                <w:sz w:val="22"/>
              </w:rPr>
              <w:t>服務單位</w:t>
            </w:r>
            <w:r w:rsidRPr="00AD7850">
              <w:rPr>
                <w:rFonts w:eastAsia="標楷體" w:hint="eastAsia"/>
                <w:b/>
                <w:sz w:val="22"/>
              </w:rPr>
              <w:t>/</w:t>
            </w:r>
            <w:r w:rsidRPr="00AD7850">
              <w:rPr>
                <w:rFonts w:eastAsia="標楷體" w:hint="eastAsia"/>
                <w:b/>
                <w:sz w:val="22"/>
              </w:rPr>
              <w:t>職稱</w:t>
            </w:r>
          </w:p>
        </w:tc>
        <w:tc>
          <w:tcPr>
            <w:tcW w:w="2766" w:type="dxa"/>
            <w:vAlign w:val="center"/>
          </w:tcPr>
          <w:p w14:paraId="7DF396C1" w14:textId="77777777" w:rsidR="00E94DB9" w:rsidRPr="00AD7850" w:rsidRDefault="00E94DB9" w:rsidP="00E94DB9">
            <w:pPr>
              <w:snapToGrid w:val="0"/>
              <w:jc w:val="center"/>
              <w:rPr>
                <w:rFonts w:eastAsia="標楷體"/>
                <w:b/>
                <w:sz w:val="22"/>
              </w:rPr>
            </w:pPr>
            <w:r w:rsidRPr="00AD7850">
              <w:rPr>
                <w:rFonts w:eastAsia="標楷體" w:hint="eastAsia"/>
                <w:b/>
                <w:sz w:val="22"/>
              </w:rPr>
              <w:t>服務單位</w:t>
            </w:r>
            <w:r w:rsidRPr="00AD7850">
              <w:rPr>
                <w:rFonts w:eastAsia="標楷體" w:hint="eastAsia"/>
                <w:b/>
                <w:sz w:val="22"/>
              </w:rPr>
              <w:t>/</w:t>
            </w:r>
            <w:r w:rsidRPr="00AD7850">
              <w:rPr>
                <w:rFonts w:eastAsia="標楷體" w:hint="eastAsia"/>
                <w:b/>
                <w:sz w:val="22"/>
              </w:rPr>
              <w:t>職稱</w:t>
            </w:r>
          </w:p>
        </w:tc>
      </w:tr>
      <w:tr w:rsidR="00E94DB9" w:rsidRPr="00E94DB9" w14:paraId="6455CC71" w14:textId="77777777" w:rsidTr="00E94DB9">
        <w:trPr>
          <w:jc w:val="center"/>
        </w:trPr>
        <w:tc>
          <w:tcPr>
            <w:tcW w:w="2765" w:type="dxa"/>
            <w:vAlign w:val="center"/>
          </w:tcPr>
          <w:p w14:paraId="542CD043" w14:textId="77777777" w:rsidR="00E94DB9" w:rsidRPr="00AD7850" w:rsidRDefault="00E94DB9" w:rsidP="00E94DB9">
            <w:pPr>
              <w:snapToGrid w:val="0"/>
              <w:jc w:val="center"/>
              <w:rPr>
                <w:rFonts w:eastAsia="標楷體"/>
                <w:b/>
                <w:sz w:val="22"/>
              </w:rPr>
            </w:pPr>
            <w:r w:rsidRPr="00AD7850">
              <w:rPr>
                <w:rFonts w:eastAsia="標楷體" w:hint="eastAsia"/>
                <w:b/>
                <w:sz w:val="22"/>
              </w:rPr>
              <w:t>e</w:t>
            </w:r>
            <w:r w:rsidRPr="00AD7850">
              <w:rPr>
                <w:rFonts w:eastAsia="標楷體"/>
                <w:b/>
                <w:sz w:val="22"/>
              </w:rPr>
              <w:t>mail</w:t>
            </w:r>
          </w:p>
        </w:tc>
        <w:tc>
          <w:tcPr>
            <w:tcW w:w="2765" w:type="dxa"/>
            <w:vAlign w:val="center"/>
          </w:tcPr>
          <w:p w14:paraId="563E748D" w14:textId="77777777" w:rsidR="00E94DB9" w:rsidRPr="00AD7850" w:rsidRDefault="00E94DB9" w:rsidP="00E94DB9">
            <w:pPr>
              <w:snapToGrid w:val="0"/>
              <w:jc w:val="center"/>
              <w:rPr>
                <w:rFonts w:eastAsia="標楷體"/>
                <w:b/>
                <w:sz w:val="22"/>
              </w:rPr>
            </w:pPr>
            <w:r w:rsidRPr="00AD7850">
              <w:rPr>
                <w:rFonts w:eastAsia="標楷體" w:hint="eastAsia"/>
                <w:b/>
                <w:sz w:val="22"/>
              </w:rPr>
              <w:t>e</w:t>
            </w:r>
            <w:r w:rsidRPr="00AD7850">
              <w:rPr>
                <w:rFonts w:eastAsia="標楷體"/>
                <w:b/>
                <w:sz w:val="22"/>
              </w:rPr>
              <w:t>mail</w:t>
            </w:r>
          </w:p>
        </w:tc>
        <w:tc>
          <w:tcPr>
            <w:tcW w:w="2766" w:type="dxa"/>
            <w:vAlign w:val="center"/>
          </w:tcPr>
          <w:p w14:paraId="350A39BD" w14:textId="77777777" w:rsidR="00E94DB9" w:rsidRPr="00AD7850" w:rsidRDefault="00E94DB9" w:rsidP="00E94DB9">
            <w:pPr>
              <w:snapToGrid w:val="0"/>
              <w:jc w:val="center"/>
              <w:rPr>
                <w:rFonts w:eastAsia="標楷體"/>
                <w:b/>
                <w:sz w:val="22"/>
              </w:rPr>
            </w:pPr>
            <w:r w:rsidRPr="00AD7850">
              <w:rPr>
                <w:rFonts w:eastAsia="標楷體" w:hint="eastAsia"/>
                <w:b/>
                <w:sz w:val="22"/>
              </w:rPr>
              <w:t>e</w:t>
            </w:r>
            <w:r w:rsidRPr="00AD7850">
              <w:rPr>
                <w:rFonts w:eastAsia="標楷體"/>
                <w:b/>
                <w:sz w:val="22"/>
              </w:rPr>
              <w:t>mail</w:t>
            </w:r>
          </w:p>
        </w:tc>
      </w:tr>
      <w:tr w:rsidR="00E94DB9" w:rsidRPr="00E94DB9" w14:paraId="37F3DF19" w14:textId="77777777" w:rsidTr="00AD7850">
        <w:trPr>
          <w:trHeight w:val="171"/>
          <w:jc w:val="center"/>
        </w:trPr>
        <w:tc>
          <w:tcPr>
            <w:tcW w:w="8296" w:type="dxa"/>
            <w:gridSpan w:val="3"/>
            <w:vAlign w:val="center"/>
          </w:tcPr>
          <w:p w14:paraId="4A910183" w14:textId="77777777" w:rsidR="00E94DB9" w:rsidRPr="00E94DB9" w:rsidRDefault="00E94DB9" w:rsidP="00E94DB9">
            <w:pPr>
              <w:snapToGrid w:val="0"/>
              <w:jc w:val="center"/>
              <w:rPr>
                <w:rFonts w:eastAsia="標楷體"/>
                <w:b/>
              </w:rPr>
            </w:pPr>
            <w:r w:rsidRPr="00AD7850">
              <w:rPr>
                <w:rFonts w:eastAsia="標楷體" w:hint="eastAsia"/>
                <w:b/>
                <w:sz w:val="22"/>
              </w:rPr>
              <w:t>國科會計畫編號：</w:t>
            </w:r>
            <w:r w:rsidRPr="00AD7850">
              <w:rPr>
                <w:rFonts w:eastAsia="標楷體" w:hint="eastAsia"/>
                <w:b/>
                <w:sz w:val="22"/>
              </w:rPr>
              <w:t>MOST 10X-XXX-E-XXX-XX</w:t>
            </w:r>
          </w:p>
        </w:tc>
      </w:tr>
    </w:tbl>
    <w:p w14:paraId="21C29A20" w14:textId="77777777" w:rsidR="001B127F" w:rsidRPr="00E94DB9" w:rsidRDefault="001B127F" w:rsidP="00E94DB9">
      <w:pPr>
        <w:snapToGrid w:val="0"/>
        <w:rPr>
          <w:rFonts w:eastAsia="標楷體"/>
          <w:b/>
        </w:rPr>
      </w:pPr>
    </w:p>
    <w:p w14:paraId="419F8183" w14:textId="77777777" w:rsidR="001B127F" w:rsidRDefault="001B127F">
      <w:pPr>
        <w:snapToGrid w:val="0"/>
      </w:pPr>
    </w:p>
    <w:p w14:paraId="39E13C7B" w14:textId="77777777" w:rsidR="001B127F" w:rsidRDefault="001B127F">
      <w:pPr>
        <w:snapToGrid w:val="0"/>
        <w:sectPr w:rsidR="001B127F">
          <w:headerReference w:type="default" r:id="rId7"/>
          <w:footerReference w:type="even" r:id="rId8"/>
          <w:pgSz w:w="11907" w:h="16840" w:code="9"/>
          <w:pgMar w:top="1418" w:right="1418" w:bottom="1418" w:left="1418" w:header="720" w:footer="720" w:gutter="0"/>
          <w:cols w:space="720"/>
        </w:sectPr>
      </w:pPr>
    </w:p>
    <w:p w14:paraId="10DA0BE9" w14:textId="77777777" w:rsidR="001B127F" w:rsidRPr="00CC4517" w:rsidRDefault="001B127F" w:rsidP="00E94DB9">
      <w:pPr>
        <w:pStyle w:val="1"/>
        <w:snapToGrid w:val="0"/>
        <w:spacing w:afterLines="50" w:after="120"/>
        <w:rPr>
          <w:rFonts w:eastAsia="標楷體"/>
          <w:szCs w:val="24"/>
        </w:rPr>
      </w:pPr>
      <w:r w:rsidRPr="00CC4517">
        <w:rPr>
          <w:rFonts w:eastAsia="標楷體"/>
          <w:szCs w:val="24"/>
        </w:rPr>
        <w:t>摘要</w:t>
      </w:r>
    </w:p>
    <w:p w14:paraId="1807993A" w14:textId="4BC15058" w:rsidR="001B127F" w:rsidRPr="00201356" w:rsidRDefault="005137AA">
      <w:pPr>
        <w:snapToGrid w:val="0"/>
        <w:spacing w:after="60"/>
        <w:ind w:firstLine="425"/>
        <w:jc w:val="both"/>
        <w:rPr>
          <w:rFonts w:eastAsia="標楷體"/>
          <w:sz w:val="20"/>
          <w:szCs w:val="20"/>
        </w:rPr>
      </w:pPr>
      <w:r w:rsidRPr="005137AA">
        <w:rPr>
          <w:rFonts w:eastAsia="標楷體" w:hint="eastAsia"/>
          <w:sz w:val="20"/>
          <w:szCs w:val="20"/>
        </w:rPr>
        <w:t>貧血是一種常見的健康問題，全球約有</w:t>
      </w:r>
      <w:r w:rsidRPr="005137AA">
        <w:rPr>
          <w:rFonts w:eastAsia="標楷體" w:hint="eastAsia"/>
          <w:sz w:val="20"/>
          <w:szCs w:val="20"/>
        </w:rPr>
        <w:t>20</w:t>
      </w:r>
      <w:r w:rsidRPr="005137AA">
        <w:rPr>
          <w:rFonts w:eastAsia="標楷體" w:hint="eastAsia"/>
          <w:sz w:val="20"/>
          <w:szCs w:val="20"/>
        </w:rPr>
        <w:t>億人患有貧血症，而黃疸是臨床醫師判斷肝功能是否變差的重要指標，全球約有</w:t>
      </w:r>
      <w:r w:rsidRPr="005137AA">
        <w:rPr>
          <w:rFonts w:eastAsia="標楷體" w:hint="eastAsia"/>
          <w:sz w:val="20"/>
          <w:szCs w:val="20"/>
        </w:rPr>
        <w:t>5</w:t>
      </w:r>
      <w:r w:rsidRPr="005137AA">
        <w:rPr>
          <w:rFonts w:eastAsia="標楷體" w:hint="eastAsia"/>
          <w:sz w:val="20"/>
          <w:szCs w:val="20"/>
        </w:rPr>
        <w:t>億人患有肝功能異常問題。過往，黃疸或貧血可透過就診抽血來診斷，近年來，由於</w:t>
      </w:r>
      <w:r w:rsidR="008F219F">
        <w:rPr>
          <w:rFonts w:eastAsia="標楷體" w:hint="eastAsia"/>
          <w:sz w:val="20"/>
          <w:szCs w:val="20"/>
        </w:rPr>
        <w:t>C</w:t>
      </w:r>
      <w:r w:rsidRPr="005137AA">
        <w:rPr>
          <w:rFonts w:eastAsia="標楷體" w:hint="eastAsia"/>
          <w:sz w:val="20"/>
          <w:szCs w:val="20"/>
        </w:rPr>
        <w:t>ovid-19</w:t>
      </w:r>
      <w:r w:rsidRPr="005137AA">
        <w:rPr>
          <w:rFonts w:eastAsia="標楷體" w:hint="eastAsia"/>
          <w:sz w:val="20"/>
          <w:szCs w:val="20"/>
        </w:rPr>
        <w:t>影響以及數位醫療遠距醫療的</w:t>
      </w:r>
      <w:r w:rsidR="006C70F7">
        <w:rPr>
          <w:rFonts w:eastAsia="標楷體" w:hint="eastAsia"/>
          <w:sz w:val="20"/>
          <w:szCs w:val="20"/>
        </w:rPr>
        <w:t>興</w:t>
      </w:r>
      <w:r w:rsidRPr="005137AA">
        <w:rPr>
          <w:rFonts w:eastAsia="標楷體" w:hint="eastAsia"/>
          <w:sz w:val="20"/>
          <w:szCs w:val="20"/>
        </w:rPr>
        <w:t>起，就眼睛的量測，如何研製出可以辨識結膜蒼白與鞏膜發黃的程度，對貧血與黃疸進行非侵入性的專業評估，將對於病患有很大的助益。雖目前國外已有一些文獻探討，但多為閉鎖性研究，也</w:t>
      </w:r>
      <w:r w:rsidR="006C70F7">
        <w:rPr>
          <w:rFonts w:eastAsia="標楷體" w:hint="eastAsia"/>
          <w:sz w:val="20"/>
          <w:szCs w:val="20"/>
        </w:rPr>
        <w:t>尚未有</w:t>
      </w:r>
      <w:r w:rsidRPr="005137AA">
        <w:rPr>
          <w:rFonts w:eastAsia="標楷體" w:hint="eastAsia"/>
          <w:sz w:val="20"/>
          <w:szCs w:val="20"/>
        </w:rPr>
        <w:t>適合國人的資料集來訓練相關</w:t>
      </w:r>
      <w:r w:rsidRPr="005137AA">
        <w:rPr>
          <w:rFonts w:eastAsia="標楷體" w:hint="eastAsia"/>
          <w:sz w:val="20"/>
          <w:szCs w:val="20"/>
        </w:rPr>
        <w:t>AI</w:t>
      </w:r>
      <w:r w:rsidRPr="005137AA">
        <w:rPr>
          <w:rFonts w:eastAsia="標楷體" w:hint="eastAsia"/>
          <w:sz w:val="20"/>
          <w:szCs w:val="20"/>
        </w:rPr>
        <w:t>神經網路模型。因此，本計畫擬結合</w:t>
      </w:r>
      <w:r w:rsidRPr="005137AA">
        <w:rPr>
          <w:rFonts w:eastAsia="標楷體" w:hint="eastAsia"/>
          <w:sz w:val="20"/>
          <w:szCs w:val="20"/>
        </w:rPr>
        <w:t>A</w:t>
      </w:r>
      <w:r w:rsidR="008F219F">
        <w:rPr>
          <w:rFonts w:eastAsia="標楷體" w:hint="eastAsia"/>
          <w:sz w:val="20"/>
          <w:szCs w:val="20"/>
        </w:rPr>
        <w:t>I</w:t>
      </w:r>
      <w:r w:rsidRPr="005137AA">
        <w:rPr>
          <w:rFonts w:eastAsia="標楷體" w:hint="eastAsia"/>
          <w:sz w:val="20"/>
          <w:szCs w:val="20"/>
        </w:rPr>
        <w:t>神經網路模型開發貧血與黃疸偵測技術</w:t>
      </w:r>
      <w:r w:rsidR="006C70F7">
        <w:rPr>
          <w:rFonts w:eastAsia="標楷體" w:hint="eastAsia"/>
          <w:sz w:val="20"/>
          <w:szCs w:val="20"/>
        </w:rPr>
        <w:t>，</w:t>
      </w:r>
      <w:r w:rsidRPr="005137AA">
        <w:rPr>
          <w:rFonts w:eastAsia="標楷體" w:hint="eastAsia"/>
          <w:sz w:val="20"/>
          <w:szCs w:val="20"/>
        </w:rPr>
        <w:t>包含環境光校正演算法、影像校正演算法、拍照自動辨識功能、貧血與黃疸估測模型，將其整合到現今社會幾乎人手一支的智慧型手機中，期能藉由簡明扼要的</w:t>
      </w:r>
      <w:r w:rsidRPr="005137AA">
        <w:rPr>
          <w:rFonts w:eastAsia="標楷體" w:hint="eastAsia"/>
          <w:sz w:val="20"/>
          <w:szCs w:val="20"/>
        </w:rPr>
        <w:t>APP</w:t>
      </w:r>
      <w:r w:rsidRPr="005137AA">
        <w:rPr>
          <w:rFonts w:eastAsia="標楷體" w:hint="eastAsia"/>
          <w:sz w:val="20"/>
          <w:szCs w:val="20"/>
        </w:rPr>
        <w:t>介面，讓使用者</w:t>
      </w:r>
      <w:proofErr w:type="gramStart"/>
      <w:r w:rsidRPr="005137AA">
        <w:rPr>
          <w:rFonts w:eastAsia="標楷體" w:hint="eastAsia"/>
          <w:sz w:val="20"/>
          <w:szCs w:val="20"/>
        </w:rPr>
        <w:t>一</w:t>
      </w:r>
      <w:proofErr w:type="gramEnd"/>
      <w:r w:rsidRPr="005137AA">
        <w:rPr>
          <w:rFonts w:eastAsia="標楷體" w:hint="eastAsia"/>
          <w:sz w:val="20"/>
          <w:szCs w:val="20"/>
        </w:rPr>
        <w:t>目瞭然患者現階段的黃疸與貧血數值。</w:t>
      </w:r>
    </w:p>
    <w:p w14:paraId="768E06A8" w14:textId="18D3D01F" w:rsidR="001B127F" w:rsidRPr="00201356" w:rsidRDefault="001B127F">
      <w:pPr>
        <w:snapToGrid w:val="0"/>
        <w:jc w:val="both"/>
        <w:rPr>
          <w:rFonts w:eastAsia="標楷體"/>
          <w:sz w:val="20"/>
          <w:szCs w:val="20"/>
        </w:rPr>
      </w:pPr>
      <w:r w:rsidRPr="00201356">
        <w:rPr>
          <w:rFonts w:eastAsia="標楷體"/>
          <w:b/>
          <w:sz w:val="20"/>
          <w:szCs w:val="20"/>
        </w:rPr>
        <w:t>關鍵詞</w:t>
      </w:r>
      <w:r w:rsidRPr="00201356">
        <w:rPr>
          <w:rFonts w:eastAsia="標楷體"/>
          <w:sz w:val="20"/>
          <w:szCs w:val="20"/>
        </w:rPr>
        <w:t>：</w:t>
      </w:r>
      <w:r w:rsidR="008F219F" w:rsidRPr="008F219F">
        <w:rPr>
          <w:rFonts w:eastAsia="標楷體" w:hint="eastAsia"/>
          <w:sz w:val="20"/>
          <w:szCs w:val="20"/>
        </w:rPr>
        <w:t>行動醫療、類神經網路、環境光校正、影像校正演算法</w:t>
      </w:r>
      <w:r w:rsidRPr="00201356">
        <w:rPr>
          <w:rFonts w:eastAsia="標楷體"/>
          <w:sz w:val="20"/>
          <w:szCs w:val="20"/>
        </w:rPr>
        <w:t>。</w:t>
      </w:r>
    </w:p>
    <w:p w14:paraId="41A24AE6" w14:textId="77777777" w:rsidR="001B127F" w:rsidRPr="00201356" w:rsidRDefault="001B127F">
      <w:pPr>
        <w:snapToGrid w:val="0"/>
        <w:jc w:val="both"/>
        <w:rPr>
          <w:rFonts w:eastAsia="標楷體"/>
        </w:rPr>
      </w:pPr>
    </w:p>
    <w:p w14:paraId="0A203ABE" w14:textId="77777777" w:rsidR="001B127F" w:rsidRPr="00201356" w:rsidRDefault="001B127F" w:rsidP="00E94DB9">
      <w:pPr>
        <w:pStyle w:val="2"/>
        <w:numPr>
          <w:ilvl w:val="0"/>
          <w:numId w:val="6"/>
        </w:numPr>
        <w:tabs>
          <w:tab w:val="clear" w:pos="360"/>
        </w:tabs>
        <w:snapToGrid w:val="0"/>
        <w:spacing w:beforeLines="50" w:before="120" w:afterLines="50" w:after="120"/>
        <w:ind w:left="238" w:hanging="238"/>
        <w:rPr>
          <w:szCs w:val="24"/>
        </w:rPr>
      </w:pPr>
      <w:bookmarkStart w:id="0" w:name="_Ref40473779"/>
      <w:r w:rsidRPr="00201356">
        <w:rPr>
          <w:szCs w:val="24"/>
        </w:rPr>
        <w:t>前言</w:t>
      </w:r>
      <w:bookmarkEnd w:id="0"/>
    </w:p>
    <w:p w14:paraId="175E0176" w14:textId="372B5467" w:rsidR="001B127F" w:rsidRPr="00460663" w:rsidRDefault="001A3A93" w:rsidP="00460663">
      <w:pPr>
        <w:snapToGrid w:val="0"/>
        <w:spacing w:after="60"/>
        <w:ind w:firstLine="425"/>
        <w:jc w:val="both"/>
        <w:rPr>
          <w:rFonts w:eastAsia="標楷體"/>
          <w:color w:val="000000"/>
          <w:kern w:val="0"/>
          <w:sz w:val="20"/>
          <w:szCs w:val="20"/>
        </w:rPr>
      </w:pPr>
      <w:r w:rsidRPr="001A3A93">
        <w:rPr>
          <w:rFonts w:eastAsia="標楷體" w:hint="eastAsia"/>
          <w:color w:val="000000"/>
          <w:kern w:val="0"/>
          <w:sz w:val="20"/>
          <w:szCs w:val="20"/>
        </w:rPr>
        <w:t>本計畫擬研製之貧血與黃疸偵測技術將整合到現今社會幾乎人手一支的智慧型手機中，藉由簡明扼要的介面，可以</w:t>
      </w:r>
      <w:proofErr w:type="gramStart"/>
      <w:r w:rsidRPr="001A3A93">
        <w:rPr>
          <w:rFonts w:eastAsia="標楷體" w:hint="eastAsia"/>
          <w:color w:val="000000"/>
          <w:kern w:val="0"/>
          <w:sz w:val="20"/>
          <w:szCs w:val="20"/>
        </w:rPr>
        <w:t>一</w:t>
      </w:r>
      <w:proofErr w:type="gramEnd"/>
      <w:r w:rsidRPr="001A3A93">
        <w:rPr>
          <w:rFonts w:eastAsia="標楷體" w:hint="eastAsia"/>
          <w:color w:val="000000"/>
          <w:kern w:val="0"/>
          <w:sz w:val="20"/>
          <w:szCs w:val="20"/>
        </w:rPr>
        <w:t>目瞭然患者現階段的黃疸與貧血數值。我們擬製作行動醫療</w:t>
      </w:r>
      <w:r w:rsidRPr="001A3A93">
        <w:rPr>
          <w:rFonts w:eastAsia="標楷體" w:hint="eastAsia"/>
          <w:color w:val="000000"/>
          <w:kern w:val="0"/>
          <w:sz w:val="20"/>
          <w:szCs w:val="20"/>
        </w:rPr>
        <w:t>APP</w:t>
      </w:r>
      <w:r w:rsidRPr="001A3A93">
        <w:rPr>
          <w:rFonts w:eastAsia="標楷體" w:hint="eastAsia"/>
          <w:color w:val="000000"/>
          <w:kern w:val="0"/>
          <w:sz w:val="20"/>
          <w:szCs w:val="20"/>
        </w:rPr>
        <w:t>，藉由類神經網路，結合智慧型手機，可以使用非</w:t>
      </w:r>
      <w:proofErr w:type="gramStart"/>
      <w:r w:rsidRPr="001A3A93">
        <w:rPr>
          <w:rFonts w:eastAsia="標楷體" w:hint="eastAsia"/>
          <w:color w:val="000000"/>
          <w:kern w:val="0"/>
          <w:sz w:val="20"/>
          <w:szCs w:val="20"/>
        </w:rPr>
        <w:t>侵入式的方法</w:t>
      </w:r>
      <w:proofErr w:type="gramEnd"/>
      <w:r w:rsidRPr="001A3A93">
        <w:rPr>
          <w:rFonts w:eastAsia="標楷體" w:hint="eastAsia"/>
          <w:color w:val="000000"/>
          <w:kern w:val="0"/>
          <w:sz w:val="20"/>
          <w:szCs w:val="20"/>
        </w:rPr>
        <w:t>讓貧血再進一步變嚴重之前，又或者是黃疸能夠早期的偵測，更早提醒患者接受進一步的治療，達到在家就可以即時監測的照護模式，且透過環境光演算法的校正，得到精確的量測結果，推廣遠距醫療相關的應用，在未來可行性中，也可以擴增更多可以透過影像得知生理狀況的不同病理狀況。</w:t>
      </w:r>
    </w:p>
    <w:p w14:paraId="0C6AD873" w14:textId="77777777" w:rsidR="001B127F" w:rsidRPr="00FF198F" w:rsidRDefault="001B127F">
      <w:pPr>
        <w:snapToGrid w:val="0"/>
        <w:rPr>
          <w:rFonts w:eastAsia="標楷體"/>
        </w:rPr>
      </w:pPr>
    </w:p>
    <w:p w14:paraId="386581FA" w14:textId="5312647C" w:rsidR="00A31793" w:rsidRPr="00A31793" w:rsidRDefault="00A31793" w:rsidP="00A31793">
      <w:pPr>
        <w:pStyle w:val="3"/>
        <w:numPr>
          <w:ilvl w:val="0"/>
          <w:numId w:val="6"/>
        </w:numPr>
        <w:tabs>
          <w:tab w:val="clear" w:pos="360"/>
        </w:tabs>
        <w:snapToGrid w:val="0"/>
        <w:spacing w:beforeLines="50" w:before="120" w:afterLines="50" w:after="120"/>
        <w:ind w:left="238" w:hanging="238"/>
        <w:rPr>
          <w:szCs w:val="24"/>
        </w:rPr>
      </w:pPr>
      <w:r w:rsidRPr="00A31793">
        <w:rPr>
          <w:rFonts w:hint="eastAsia"/>
          <w:szCs w:val="24"/>
        </w:rPr>
        <w:t>研究目的</w:t>
      </w:r>
    </w:p>
    <w:p w14:paraId="0B65F946" w14:textId="75BAAFC3" w:rsidR="00D77990" w:rsidRDefault="00D77990">
      <w:pPr>
        <w:snapToGrid w:val="0"/>
        <w:spacing w:after="60"/>
        <w:ind w:firstLine="425"/>
        <w:jc w:val="both"/>
        <w:rPr>
          <w:rFonts w:eastAsia="標楷體"/>
          <w:sz w:val="20"/>
          <w:szCs w:val="20"/>
        </w:rPr>
      </w:pPr>
      <w:proofErr w:type="gramStart"/>
      <w:r w:rsidRPr="00D77990">
        <w:rPr>
          <w:rFonts w:eastAsia="標楷體" w:hint="eastAsia"/>
          <w:sz w:val="20"/>
          <w:szCs w:val="20"/>
        </w:rPr>
        <w:t>鑑</w:t>
      </w:r>
      <w:proofErr w:type="gramEnd"/>
      <w:r w:rsidRPr="00D77990">
        <w:rPr>
          <w:rFonts w:eastAsia="標楷體" w:hint="eastAsia"/>
          <w:sz w:val="20"/>
          <w:szCs w:val="20"/>
        </w:rPr>
        <w:t>於社會大眾對於行動醫療</w:t>
      </w:r>
      <w:r w:rsidRPr="00D77990">
        <w:rPr>
          <w:rFonts w:eastAsia="標楷體" w:hint="eastAsia"/>
          <w:sz w:val="20"/>
          <w:szCs w:val="20"/>
        </w:rPr>
        <w:t>App</w:t>
      </w:r>
      <w:r w:rsidRPr="00D77990">
        <w:rPr>
          <w:rFonts w:eastAsia="標楷體" w:hint="eastAsia"/>
          <w:sz w:val="20"/>
          <w:szCs w:val="20"/>
        </w:rPr>
        <w:t>裝置之期待，以及現今類神經網路於分類識別應用已蓬勃發展，本計畫以黃疸、貧血為出發點，在本計畫中，擬利用手機相機結合類神經網路辨識技術，研討與開發黃疸、貧血量測</w:t>
      </w:r>
      <w:r w:rsidR="007C1641">
        <w:rPr>
          <w:rFonts w:eastAsia="標楷體" w:hint="eastAsia"/>
          <w:sz w:val="20"/>
          <w:szCs w:val="20"/>
        </w:rPr>
        <w:t>手機應用程式，</w:t>
      </w:r>
      <w:r w:rsidR="00D90566">
        <w:rPr>
          <w:rFonts w:eastAsia="標楷體" w:hint="eastAsia"/>
          <w:sz w:val="20"/>
          <w:szCs w:val="20"/>
        </w:rPr>
        <w:t>以解決侵入式抽血方法量測帶來的困擾，並實現遠距醫療。</w:t>
      </w:r>
    </w:p>
    <w:p w14:paraId="4FAB0D19" w14:textId="1BEEF463" w:rsidR="009850ED" w:rsidRPr="00A31793" w:rsidRDefault="009850ED" w:rsidP="009850ED">
      <w:pPr>
        <w:pStyle w:val="3"/>
        <w:numPr>
          <w:ilvl w:val="0"/>
          <w:numId w:val="6"/>
        </w:numPr>
        <w:tabs>
          <w:tab w:val="clear" w:pos="360"/>
        </w:tabs>
        <w:snapToGrid w:val="0"/>
        <w:spacing w:beforeLines="50" w:before="120" w:afterLines="50" w:after="120"/>
        <w:ind w:left="238" w:hanging="238"/>
        <w:rPr>
          <w:szCs w:val="24"/>
        </w:rPr>
      </w:pPr>
      <w:r w:rsidRPr="00A31793">
        <w:rPr>
          <w:rFonts w:hint="eastAsia"/>
          <w:szCs w:val="24"/>
        </w:rPr>
        <w:t>研究</w:t>
      </w:r>
      <w:r>
        <w:rPr>
          <w:rFonts w:hint="eastAsia"/>
          <w:szCs w:val="24"/>
        </w:rPr>
        <w:t>方法</w:t>
      </w:r>
    </w:p>
    <w:p w14:paraId="33CB9ACB" w14:textId="77777777" w:rsidR="009850ED" w:rsidRPr="009850ED" w:rsidRDefault="009850ED" w:rsidP="009850ED">
      <w:pPr>
        <w:numPr>
          <w:ilvl w:val="1"/>
          <w:numId w:val="6"/>
        </w:numPr>
        <w:snapToGrid w:val="0"/>
        <w:spacing w:beforeLines="50" w:before="120" w:afterLines="50" w:after="120"/>
        <w:ind w:left="431" w:hanging="431"/>
        <w:rPr>
          <w:rFonts w:eastAsia="標楷體"/>
          <w:b/>
        </w:rPr>
      </w:pPr>
      <w:r w:rsidRPr="009850ED">
        <w:rPr>
          <w:rFonts w:eastAsia="標楷體"/>
          <w:b/>
        </w:rPr>
        <w:t>3.1 IRB</w:t>
      </w:r>
    </w:p>
    <w:p w14:paraId="39F0C228" w14:textId="24FE1D4A" w:rsidR="001B127F" w:rsidRDefault="009850ED" w:rsidP="009850ED">
      <w:pPr>
        <w:pStyle w:val="a4"/>
        <w:tabs>
          <w:tab w:val="clear" w:pos="4153"/>
          <w:tab w:val="clear" w:pos="8306"/>
        </w:tabs>
        <w:rPr>
          <w:rFonts w:eastAsia="標楷體"/>
        </w:rPr>
      </w:pPr>
      <w:r w:rsidRPr="009850ED">
        <w:rPr>
          <w:rFonts w:eastAsia="標楷體" w:hint="eastAsia"/>
        </w:rPr>
        <w:tab/>
      </w:r>
      <w:r w:rsidRPr="009850ED">
        <w:rPr>
          <w:rFonts w:eastAsia="標楷體" w:hint="eastAsia"/>
        </w:rPr>
        <w:t>如何採集大量且具多樣性的資料是相當重要的課題，目前本實驗室已與國內的兩家醫院展開合作，初步實行</w:t>
      </w:r>
      <w:r w:rsidRPr="009850ED">
        <w:rPr>
          <w:rFonts w:eastAsia="標楷體" w:hint="eastAsia"/>
        </w:rPr>
        <w:t>IRB</w:t>
      </w:r>
      <w:r w:rsidRPr="009850ED">
        <w:rPr>
          <w:rFonts w:eastAsia="標楷體" w:hint="eastAsia"/>
        </w:rPr>
        <w:t>試驗進行數據採集，目前對於眼睛影像與黃疸貧血量測數據收集已有一些初步心得，讓本計畫有了一個良好的開始。除了進入洗腎室，我們也在新國民醫院的健檢中心製作招募受測者的海報，收集多樣化數據以利未來蒐集數據時能夠保持資料的平衡性與多樣性。透過</w:t>
      </w:r>
      <w:r w:rsidRPr="009850ED">
        <w:rPr>
          <w:rFonts w:eastAsia="標楷體" w:hint="eastAsia"/>
        </w:rPr>
        <w:t>IRB</w:t>
      </w:r>
      <w:r w:rsidRPr="009850ED">
        <w:rPr>
          <w:rFonts w:eastAsia="標楷體" w:hint="eastAsia"/>
        </w:rPr>
        <w:t>計畫</w:t>
      </w:r>
      <w:r w:rsidRPr="009850ED">
        <w:rPr>
          <w:rFonts w:eastAsia="標楷體" w:hint="eastAsia"/>
        </w:rPr>
        <w:t>(</w:t>
      </w:r>
      <w:r w:rsidRPr="009850ED">
        <w:rPr>
          <w:rFonts w:eastAsia="標楷體" w:hint="eastAsia"/>
        </w:rPr>
        <w:t>人體試驗委員會</w:t>
      </w:r>
      <w:r w:rsidRPr="009850ED">
        <w:rPr>
          <w:rFonts w:eastAsia="標楷體" w:hint="eastAsia"/>
        </w:rPr>
        <w:t>)</w:t>
      </w:r>
      <w:r w:rsidRPr="009850ED">
        <w:rPr>
          <w:rFonts w:eastAsia="標楷體" w:hint="eastAsia"/>
        </w:rPr>
        <w:t>與雙和醫院的盧柏文醫師合作，約取得了</w:t>
      </w:r>
      <w:r w:rsidRPr="009850ED">
        <w:rPr>
          <w:rFonts w:eastAsia="標楷體" w:hint="eastAsia"/>
        </w:rPr>
        <w:t>300</w:t>
      </w:r>
      <w:r w:rsidRPr="009850ED">
        <w:rPr>
          <w:rFonts w:eastAsia="標楷體" w:hint="eastAsia"/>
        </w:rPr>
        <w:t>名的受試者資料，分別拍攝了其左右眼的照片以及全身照片</w:t>
      </w:r>
      <w:r w:rsidRPr="009850ED">
        <w:rPr>
          <w:rFonts w:eastAsia="標楷體" w:hint="eastAsia"/>
        </w:rPr>
        <w:t>(</w:t>
      </w:r>
      <w:r w:rsidRPr="009850ED">
        <w:rPr>
          <w:rFonts w:eastAsia="標楷體" w:hint="eastAsia"/>
        </w:rPr>
        <w:t>以確認環境光源</w:t>
      </w:r>
      <w:r w:rsidRPr="009850ED">
        <w:rPr>
          <w:rFonts w:eastAsia="標楷體" w:hint="eastAsia"/>
        </w:rPr>
        <w:t>)</w:t>
      </w:r>
      <w:r w:rsidRPr="009850ED">
        <w:rPr>
          <w:rFonts w:eastAsia="標楷體" w:hint="eastAsia"/>
        </w:rPr>
        <w:t>，經過嚴格的資料篩選</w:t>
      </w:r>
      <w:r w:rsidRPr="009850ED">
        <w:rPr>
          <w:rFonts w:eastAsia="標楷體" w:hint="eastAsia"/>
        </w:rPr>
        <w:t>(</w:t>
      </w:r>
      <w:r w:rsidRPr="009850ED">
        <w:rPr>
          <w:rFonts w:eastAsia="標楷體" w:hint="eastAsia"/>
        </w:rPr>
        <w:t>剔除沒有拍攝到眼瞼的部分，因為眼瞼是判斷貧血與否的依據，也剔除沒拍攝到眼白的部分，因為眼白是判斷黃疸與否的依據</w:t>
      </w:r>
      <w:r w:rsidRPr="009850ED">
        <w:rPr>
          <w:rFonts w:eastAsia="標楷體" w:hint="eastAsia"/>
        </w:rPr>
        <w:t>)</w:t>
      </w:r>
      <w:r w:rsidRPr="009850ED">
        <w:rPr>
          <w:rFonts w:eastAsia="標楷體" w:hint="eastAsia"/>
        </w:rPr>
        <w:t>，我們最終擁有約</w:t>
      </w:r>
      <w:r w:rsidRPr="009850ED">
        <w:rPr>
          <w:rFonts w:eastAsia="標楷體" w:hint="eastAsia"/>
        </w:rPr>
        <w:t>1000</w:t>
      </w:r>
      <w:r w:rsidRPr="009850ED">
        <w:rPr>
          <w:rFonts w:eastAsia="標楷體" w:hint="eastAsia"/>
        </w:rPr>
        <w:t>張適合用於我們專題的照片。我們將資料分成</w:t>
      </w:r>
      <w:r w:rsidRPr="009850ED">
        <w:rPr>
          <w:rFonts w:eastAsia="標楷體" w:hint="eastAsia"/>
        </w:rPr>
        <w:t>800</w:t>
      </w:r>
      <w:r w:rsidRPr="009850ED">
        <w:rPr>
          <w:rFonts w:eastAsia="標楷體" w:hint="eastAsia"/>
        </w:rPr>
        <w:t>張的訓練集以及</w:t>
      </w:r>
      <w:r w:rsidRPr="009850ED">
        <w:rPr>
          <w:rFonts w:eastAsia="標楷體" w:hint="eastAsia"/>
        </w:rPr>
        <w:t>200</w:t>
      </w:r>
      <w:r w:rsidRPr="009850ED">
        <w:rPr>
          <w:rFonts w:eastAsia="標楷體" w:hint="eastAsia"/>
        </w:rPr>
        <w:t>的驗證集。</w:t>
      </w:r>
    </w:p>
    <w:p w14:paraId="15EA1648" w14:textId="77777777" w:rsidR="00EE7066" w:rsidRDefault="00EE7066" w:rsidP="009850ED">
      <w:pPr>
        <w:pStyle w:val="a4"/>
        <w:tabs>
          <w:tab w:val="clear" w:pos="4153"/>
          <w:tab w:val="clear" w:pos="8306"/>
        </w:tabs>
        <w:rPr>
          <w:rFonts w:eastAsia="標楷體"/>
        </w:rPr>
      </w:pPr>
    </w:p>
    <w:p w14:paraId="47FEFFAE" w14:textId="44F07AA4" w:rsidR="00EE7066" w:rsidRPr="00EE7066" w:rsidRDefault="00EE7066" w:rsidP="00EE7066">
      <w:pPr>
        <w:numPr>
          <w:ilvl w:val="1"/>
          <w:numId w:val="6"/>
        </w:numPr>
        <w:snapToGrid w:val="0"/>
        <w:spacing w:beforeLines="50" w:before="120" w:afterLines="50" w:after="120"/>
        <w:ind w:left="431" w:hanging="431"/>
        <w:rPr>
          <w:rFonts w:eastAsia="標楷體"/>
          <w:b/>
        </w:rPr>
      </w:pPr>
      <w:proofErr w:type="spellStart"/>
      <w:r w:rsidRPr="00EE7066">
        <w:rPr>
          <w:rFonts w:eastAsia="標楷體" w:hint="eastAsia"/>
          <w:b/>
        </w:rPr>
        <w:t>Unet</w:t>
      </w:r>
      <w:proofErr w:type="spellEnd"/>
      <w:r w:rsidRPr="00EE7066">
        <w:rPr>
          <w:rFonts w:eastAsia="標楷體" w:hint="eastAsia"/>
          <w:b/>
        </w:rPr>
        <w:t xml:space="preserve"> </w:t>
      </w:r>
      <w:r w:rsidRPr="00EE7066">
        <w:rPr>
          <w:rFonts w:eastAsia="標楷體" w:hint="eastAsia"/>
          <w:b/>
        </w:rPr>
        <w:t>影像</w:t>
      </w:r>
      <w:r>
        <w:rPr>
          <w:rFonts w:eastAsia="標楷體" w:hint="eastAsia"/>
          <w:b/>
        </w:rPr>
        <w:t>切</w:t>
      </w:r>
      <w:r w:rsidRPr="00EE7066">
        <w:rPr>
          <w:rFonts w:eastAsia="標楷體" w:hint="eastAsia"/>
          <w:b/>
        </w:rPr>
        <w:t>割</w:t>
      </w:r>
    </w:p>
    <w:p w14:paraId="5AA0F044" w14:textId="2050506E" w:rsidR="009850ED" w:rsidRDefault="00EE7066" w:rsidP="00EE7066">
      <w:pPr>
        <w:pStyle w:val="a4"/>
        <w:tabs>
          <w:tab w:val="clear" w:pos="4153"/>
          <w:tab w:val="clear" w:pos="8306"/>
        </w:tabs>
        <w:rPr>
          <w:rFonts w:eastAsia="標楷體"/>
        </w:rPr>
      </w:pPr>
      <w:r w:rsidRPr="00EE7066">
        <w:rPr>
          <w:rFonts w:eastAsia="標楷體" w:hint="eastAsia"/>
        </w:rPr>
        <w:tab/>
      </w:r>
      <w:proofErr w:type="spellStart"/>
      <w:r w:rsidRPr="00EE7066">
        <w:rPr>
          <w:rFonts w:eastAsia="標楷體" w:hint="eastAsia"/>
        </w:rPr>
        <w:t>Unet</w:t>
      </w:r>
      <w:proofErr w:type="spellEnd"/>
      <w:r w:rsidRPr="00EE7066">
        <w:rPr>
          <w:rFonts w:eastAsia="標楷體" w:hint="eastAsia"/>
        </w:rPr>
        <w:t>模型在少量數據下也能表現出色，這對於我們專題中有限的資料數量非常適合。</w:t>
      </w:r>
      <w:proofErr w:type="spellStart"/>
      <w:r w:rsidRPr="00EE7066">
        <w:rPr>
          <w:rFonts w:eastAsia="標楷體" w:hint="eastAsia"/>
        </w:rPr>
        <w:t>UNet</w:t>
      </w:r>
      <w:proofErr w:type="spellEnd"/>
      <w:r w:rsidRPr="00EE7066">
        <w:rPr>
          <w:rFonts w:eastAsia="標楷體" w:hint="eastAsia"/>
        </w:rPr>
        <w:t>使用</w:t>
      </w:r>
      <w:r w:rsidRPr="00EE7066">
        <w:rPr>
          <w:rFonts w:eastAsia="標楷體" w:hint="eastAsia"/>
        </w:rPr>
        <w:t>Transpose convolution</w:t>
      </w:r>
      <w:r w:rsidRPr="00EE7066">
        <w:rPr>
          <w:rFonts w:eastAsia="標楷體" w:hint="eastAsia"/>
        </w:rPr>
        <w:t>進行上</w:t>
      </w:r>
      <w:proofErr w:type="gramStart"/>
      <w:r w:rsidRPr="00EE7066">
        <w:rPr>
          <w:rFonts w:eastAsia="標楷體" w:hint="eastAsia"/>
        </w:rPr>
        <w:t>採</w:t>
      </w:r>
      <w:proofErr w:type="gramEnd"/>
      <w:r w:rsidRPr="00EE7066">
        <w:rPr>
          <w:rFonts w:eastAsia="標楷體" w:hint="eastAsia"/>
        </w:rPr>
        <w:t>樣，下圖為呈現</w:t>
      </w:r>
      <w:r w:rsidRPr="00EE7066">
        <w:rPr>
          <w:rFonts w:eastAsia="標楷體" w:hint="eastAsia"/>
        </w:rPr>
        <w:t>U</w:t>
      </w:r>
      <w:r w:rsidRPr="00EE7066">
        <w:rPr>
          <w:rFonts w:eastAsia="標楷體" w:hint="eastAsia"/>
        </w:rPr>
        <w:t>型的</w:t>
      </w:r>
      <w:proofErr w:type="spellStart"/>
      <w:r w:rsidRPr="00EE7066">
        <w:rPr>
          <w:rFonts w:eastAsia="標楷體" w:hint="eastAsia"/>
        </w:rPr>
        <w:t>UNet</w:t>
      </w:r>
      <w:proofErr w:type="spellEnd"/>
      <w:r w:rsidRPr="00EE7066">
        <w:rPr>
          <w:rFonts w:eastAsia="標楷體" w:hint="eastAsia"/>
        </w:rPr>
        <w:t>架構</w:t>
      </w:r>
      <w:r w:rsidRPr="00EE7066">
        <w:rPr>
          <w:rFonts w:eastAsia="標楷體" w:hint="eastAsia"/>
        </w:rPr>
        <w:t>(</w:t>
      </w:r>
      <w:proofErr w:type="gramStart"/>
      <w:r w:rsidRPr="00EE7066">
        <w:rPr>
          <w:rFonts w:eastAsia="標楷體" w:hint="eastAsia"/>
        </w:rPr>
        <w:t>補圖</w:t>
      </w:r>
      <w:proofErr w:type="gramEnd"/>
      <w:r w:rsidRPr="00EE7066">
        <w:rPr>
          <w:rFonts w:eastAsia="標楷體" w:hint="eastAsia"/>
        </w:rPr>
        <w:t>)</w:t>
      </w:r>
      <w:r w:rsidRPr="00EE7066">
        <w:rPr>
          <w:rFonts w:eastAsia="標楷體" w:hint="eastAsia"/>
        </w:rPr>
        <w:t>，左側為執行</w:t>
      </w:r>
      <w:r w:rsidRPr="00EE7066">
        <w:rPr>
          <w:rFonts w:eastAsia="標楷體" w:hint="eastAsia"/>
        </w:rPr>
        <w:t>Down sampling</w:t>
      </w:r>
      <w:r w:rsidRPr="00EE7066">
        <w:rPr>
          <w:rFonts w:eastAsia="標楷體" w:hint="eastAsia"/>
        </w:rPr>
        <w:t>的傳統</w:t>
      </w:r>
      <w:proofErr w:type="gramStart"/>
      <w:r w:rsidRPr="00EE7066">
        <w:rPr>
          <w:rFonts w:eastAsia="標楷體" w:hint="eastAsia"/>
        </w:rPr>
        <w:t>捲</w:t>
      </w:r>
      <w:proofErr w:type="gramEnd"/>
      <w:r w:rsidRPr="00EE7066">
        <w:rPr>
          <w:rFonts w:eastAsia="標楷體" w:hint="eastAsia"/>
        </w:rPr>
        <w:t>積，右側即為</w:t>
      </w:r>
      <w:r w:rsidRPr="00EE7066">
        <w:rPr>
          <w:rFonts w:eastAsia="標楷體" w:hint="eastAsia"/>
        </w:rPr>
        <w:t>Transpose convolution</w:t>
      </w:r>
      <w:r w:rsidRPr="00EE7066">
        <w:rPr>
          <w:rFonts w:eastAsia="標楷體" w:hint="eastAsia"/>
        </w:rPr>
        <w:t>，負責把影像</w:t>
      </w:r>
      <w:r w:rsidRPr="00EE7066">
        <w:rPr>
          <w:rFonts w:eastAsia="標楷體" w:hint="eastAsia"/>
        </w:rPr>
        <w:t>Up sampling</w:t>
      </w:r>
      <w:r w:rsidRPr="00EE7066">
        <w:rPr>
          <w:rFonts w:eastAsia="標楷體" w:hint="eastAsia"/>
        </w:rPr>
        <w:t>到原輸入尺寸。為了僅保留眼瞼和眼白的部分，使用</w:t>
      </w:r>
      <w:r w:rsidRPr="00EE7066">
        <w:rPr>
          <w:rFonts w:eastAsia="標楷體" w:hint="eastAsia"/>
        </w:rPr>
        <w:t>800</w:t>
      </w:r>
      <w:r w:rsidRPr="00EE7066">
        <w:rPr>
          <w:rFonts w:eastAsia="標楷體" w:hint="eastAsia"/>
        </w:rPr>
        <w:t>張的訓練集進行訓練</w:t>
      </w:r>
      <w:r w:rsidRPr="00EE7066">
        <w:rPr>
          <w:rFonts w:eastAsia="標楷體" w:hint="eastAsia"/>
        </w:rPr>
        <w:t>(</w:t>
      </w:r>
      <w:r w:rsidRPr="00EE7066">
        <w:rPr>
          <w:rFonts w:eastAsia="標楷體" w:hint="eastAsia"/>
        </w:rPr>
        <w:t>影像兩張一組，</w:t>
      </w:r>
      <w:proofErr w:type="gramStart"/>
      <w:r w:rsidRPr="00EE7066">
        <w:rPr>
          <w:rFonts w:eastAsia="標楷體" w:hint="eastAsia"/>
        </w:rPr>
        <w:t>一</w:t>
      </w:r>
      <w:proofErr w:type="gramEnd"/>
      <w:r w:rsidRPr="00EE7066">
        <w:rPr>
          <w:rFonts w:eastAsia="標楷體" w:hint="eastAsia"/>
        </w:rPr>
        <w:t>張原圖</w:t>
      </w:r>
      <w:r w:rsidRPr="00EE7066">
        <w:rPr>
          <w:rFonts w:eastAsia="標楷體" w:hint="eastAsia"/>
        </w:rPr>
        <w:t>(</w:t>
      </w:r>
      <w:r w:rsidRPr="00EE7066">
        <w:rPr>
          <w:rFonts w:eastAsia="標楷體" w:hint="eastAsia"/>
        </w:rPr>
        <w:t>圖</w:t>
      </w:r>
      <w:r w:rsidRPr="00EE7066">
        <w:rPr>
          <w:rFonts w:eastAsia="標楷體" w:hint="eastAsia"/>
        </w:rPr>
        <w:t>a)</w:t>
      </w:r>
      <w:r w:rsidRPr="00EE7066">
        <w:rPr>
          <w:rFonts w:eastAsia="標楷體" w:hint="eastAsia"/>
        </w:rPr>
        <w:t>，一張標記出想辨識的區域</w:t>
      </w:r>
      <w:r w:rsidRPr="00EE7066">
        <w:rPr>
          <w:rFonts w:eastAsia="標楷體" w:hint="eastAsia"/>
        </w:rPr>
        <w:t>(</w:t>
      </w:r>
      <w:r w:rsidRPr="00EE7066">
        <w:rPr>
          <w:rFonts w:eastAsia="標楷體" w:hint="eastAsia"/>
        </w:rPr>
        <w:t>圖</w:t>
      </w:r>
      <w:r w:rsidRPr="00EE7066">
        <w:rPr>
          <w:rFonts w:eastAsia="標楷體" w:hint="eastAsia"/>
        </w:rPr>
        <w:t>b)</w:t>
      </w:r>
      <w:r w:rsidRPr="00EE7066">
        <w:rPr>
          <w:rFonts w:eastAsia="標楷體" w:hint="eastAsia"/>
        </w:rPr>
        <w:t>，影像大小為</w:t>
      </w:r>
      <w:r w:rsidRPr="00EE7066">
        <w:rPr>
          <w:rFonts w:eastAsia="標楷體" w:hint="eastAsia"/>
        </w:rPr>
        <w:t>256*256</w:t>
      </w:r>
      <w:r w:rsidRPr="00EE7066">
        <w:rPr>
          <w:rFonts w:eastAsia="標楷體" w:hint="eastAsia"/>
        </w:rPr>
        <w:t>，分別訓練標記眼瞼部分與眼白部分。而</w:t>
      </w:r>
      <w:proofErr w:type="spellStart"/>
      <w:r w:rsidRPr="00EE7066">
        <w:rPr>
          <w:rFonts w:eastAsia="標楷體" w:hint="eastAsia"/>
        </w:rPr>
        <w:t>Unet</w:t>
      </w:r>
      <w:proofErr w:type="spellEnd"/>
      <w:r w:rsidRPr="00EE7066">
        <w:rPr>
          <w:rFonts w:eastAsia="標楷體" w:hint="eastAsia"/>
        </w:rPr>
        <w:t>輸出我們稱為</w:t>
      </w:r>
      <w:r w:rsidRPr="00EE7066">
        <w:rPr>
          <w:rFonts w:eastAsia="標楷體" w:hint="eastAsia"/>
        </w:rPr>
        <w:t>mask(</w:t>
      </w:r>
      <w:r w:rsidRPr="00EE7066">
        <w:rPr>
          <w:rFonts w:eastAsia="標楷體" w:hint="eastAsia"/>
        </w:rPr>
        <w:t>只有</w:t>
      </w:r>
      <w:r w:rsidRPr="00EE7066">
        <w:rPr>
          <w:rFonts w:eastAsia="標楷體" w:hint="eastAsia"/>
        </w:rPr>
        <w:t>0</w:t>
      </w:r>
      <w:r w:rsidRPr="00EE7066">
        <w:rPr>
          <w:rFonts w:eastAsia="標楷體" w:hint="eastAsia"/>
        </w:rPr>
        <w:t>和</w:t>
      </w:r>
      <w:r w:rsidRPr="00EE7066">
        <w:rPr>
          <w:rFonts w:eastAsia="標楷體" w:hint="eastAsia"/>
        </w:rPr>
        <w:t>1</w:t>
      </w:r>
      <w:r w:rsidRPr="00EE7066">
        <w:rPr>
          <w:rFonts w:eastAsia="標楷體" w:hint="eastAsia"/>
        </w:rPr>
        <w:t>的二元影像</w:t>
      </w:r>
      <w:r w:rsidRPr="00EE7066">
        <w:rPr>
          <w:rFonts w:eastAsia="標楷體" w:hint="eastAsia"/>
        </w:rPr>
        <w:t>)</w:t>
      </w:r>
      <w:r w:rsidRPr="00EE7066">
        <w:rPr>
          <w:rFonts w:eastAsia="標楷體" w:hint="eastAsia"/>
        </w:rPr>
        <w:t>，</w:t>
      </w:r>
      <w:r w:rsidRPr="00EE7066">
        <w:rPr>
          <w:rFonts w:eastAsia="標楷體" w:hint="eastAsia"/>
        </w:rPr>
        <w:t>mask</w:t>
      </w:r>
      <w:r w:rsidRPr="00EE7066">
        <w:rPr>
          <w:rFonts w:eastAsia="標楷體" w:hint="eastAsia"/>
        </w:rPr>
        <w:t>大小與原圖相同，所以與原圖做影像相乘後</w:t>
      </w:r>
      <w:proofErr w:type="gramStart"/>
      <w:r w:rsidRPr="00EE7066">
        <w:rPr>
          <w:rFonts w:eastAsia="標楷體" w:hint="eastAsia"/>
        </w:rPr>
        <w:t>即可裁</w:t>
      </w:r>
      <w:proofErr w:type="gramEnd"/>
      <w:r w:rsidRPr="00EE7066">
        <w:rPr>
          <w:rFonts w:eastAsia="標楷體" w:hint="eastAsia"/>
        </w:rPr>
        <w:t>切出眼瞼和眼白。</w:t>
      </w:r>
    </w:p>
    <w:p w14:paraId="5CE924DE" w14:textId="77777777" w:rsidR="009C5307" w:rsidRDefault="009C5307" w:rsidP="00EE7066">
      <w:pPr>
        <w:pStyle w:val="a4"/>
        <w:tabs>
          <w:tab w:val="clear" w:pos="4153"/>
          <w:tab w:val="clear" w:pos="8306"/>
        </w:tabs>
        <w:rPr>
          <w:rFonts w:eastAsia="標楷體"/>
        </w:rPr>
      </w:pPr>
    </w:p>
    <w:p w14:paraId="54B43A44" w14:textId="77777777" w:rsidR="009C5307" w:rsidRDefault="00F14006" w:rsidP="009C5307">
      <w:pPr>
        <w:pStyle w:val="a4"/>
        <w:tabs>
          <w:tab w:val="clear" w:pos="4153"/>
          <w:tab w:val="clear" w:pos="8306"/>
        </w:tabs>
        <w:jc w:val="center"/>
        <w:rPr>
          <w:rFonts w:eastAsia="標楷體"/>
        </w:rPr>
      </w:pPr>
      <w:r>
        <w:rPr>
          <w:rFonts w:eastAsia="標楷體" w:hint="eastAsia"/>
          <w:noProof/>
          <w:szCs w:val="24"/>
        </w:rPr>
        <w:drawing>
          <wp:inline distT="0" distB="0" distL="0" distR="0" wp14:anchorId="05BA9196" wp14:editId="616FD6C5">
            <wp:extent cx="991235" cy="991235"/>
            <wp:effectExtent l="0" t="0" r="0" b="0"/>
            <wp:docPr id="10" name="圖片 10" descr="一張含有 特寫, 管風琴, 皮膚, 睫毛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descr="一張含有 特寫, 管風琴, 皮膚, 睫毛 的圖片&#10;&#10;自動產生的描述"/>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1235" cy="991235"/>
                    </a:xfrm>
                    <a:prstGeom prst="rect">
                      <a:avLst/>
                    </a:prstGeom>
                  </pic:spPr>
                </pic:pic>
              </a:graphicData>
            </a:graphic>
          </wp:inline>
        </w:drawing>
      </w:r>
      <w:r>
        <w:rPr>
          <w:rFonts w:eastAsia="標楷體" w:hint="eastAsia"/>
          <w:noProof/>
          <w:szCs w:val="24"/>
        </w:rPr>
        <w:drawing>
          <wp:inline distT="0" distB="0" distL="0" distR="0" wp14:anchorId="05BD162F" wp14:editId="5507E7FE">
            <wp:extent cx="989938" cy="989938"/>
            <wp:effectExtent l="0" t="0" r="1270" b="1270"/>
            <wp:docPr id="11" name="圖片 11" descr="一張含有 圖形, 紅色, 旗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descr="一張含有 圖形, 紅色, 旗幟 的圖片&#10;&#10;自動產生的描述"/>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2644" cy="992644"/>
                    </a:xfrm>
                    <a:prstGeom prst="rect">
                      <a:avLst/>
                    </a:prstGeom>
                  </pic:spPr>
                </pic:pic>
              </a:graphicData>
            </a:graphic>
          </wp:inline>
        </w:drawing>
      </w:r>
    </w:p>
    <w:p w14:paraId="1AB6E7B2" w14:textId="03C18E54" w:rsidR="009C5307" w:rsidRPr="00201356" w:rsidRDefault="009C5307" w:rsidP="009C5307">
      <w:pPr>
        <w:pStyle w:val="a6"/>
        <w:snapToGrid w:val="0"/>
        <w:jc w:val="center"/>
        <w:rPr>
          <w:rFonts w:eastAsia="標楷體"/>
          <w:b/>
        </w:rPr>
      </w:pPr>
      <w:bookmarkStart w:id="1" w:name="_Hlk147403563"/>
      <w:r w:rsidRPr="00201356">
        <w:rPr>
          <w:rFonts w:eastAsia="標楷體"/>
          <w:b/>
        </w:rPr>
        <w:lastRenderedPageBreak/>
        <w:t>圖</w:t>
      </w:r>
      <w:r w:rsidRPr="00201356">
        <w:rPr>
          <w:rFonts w:eastAsia="標楷體"/>
          <w:b/>
        </w:rPr>
        <w:t xml:space="preserve"> </w:t>
      </w:r>
      <w:r w:rsidRPr="00201356">
        <w:rPr>
          <w:rFonts w:eastAsia="標楷體"/>
          <w:b/>
        </w:rPr>
        <w:fldChar w:fldCharType="begin"/>
      </w:r>
      <w:r w:rsidRPr="00201356">
        <w:rPr>
          <w:rFonts w:eastAsia="標楷體"/>
          <w:b/>
        </w:rPr>
        <w:instrText xml:space="preserve"> SEQ </w:instrText>
      </w:r>
      <w:r w:rsidRPr="00201356">
        <w:rPr>
          <w:rFonts w:eastAsia="標楷體"/>
          <w:b/>
        </w:rPr>
        <w:instrText>圖</w:instrText>
      </w:r>
      <w:r w:rsidRPr="00201356">
        <w:rPr>
          <w:rFonts w:eastAsia="標楷體"/>
          <w:b/>
        </w:rPr>
        <w:instrText xml:space="preserve"> \* ARABIC </w:instrText>
      </w:r>
      <w:r w:rsidRPr="00201356">
        <w:rPr>
          <w:rFonts w:eastAsia="標楷體"/>
          <w:b/>
        </w:rPr>
        <w:fldChar w:fldCharType="separate"/>
      </w:r>
      <w:r w:rsidRPr="00201356">
        <w:rPr>
          <w:rFonts w:eastAsia="標楷體"/>
          <w:b/>
          <w:noProof/>
        </w:rPr>
        <w:t>1</w:t>
      </w:r>
      <w:r w:rsidRPr="00201356">
        <w:rPr>
          <w:rFonts w:eastAsia="標楷體"/>
          <w:b/>
        </w:rPr>
        <w:fldChar w:fldCharType="end"/>
      </w:r>
      <w:r w:rsidRPr="00201356">
        <w:rPr>
          <w:rFonts w:eastAsia="標楷體"/>
          <w:b/>
        </w:rPr>
        <w:t xml:space="preserve"> </w:t>
      </w:r>
      <w:r w:rsidR="00AB6335">
        <w:rPr>
          <w:rFonts w:eastAsia="標楷體" w:hint="eastAsia"/>
          <w:b/>
        </w:rPr>
        <w:t>原圖與標記法</w:t>
      </w:r>
    </w:p>
    <w:bookmarkEnd w:id="1"/>
    <w:p w14:paraId="395A3D1E" w14:textId="77777777" w:rsidR="009C5307" w:rsidRDefault="009C5307" w:rsidP="009C5307">
      <w:pPr>
        <w:pStyle w:val="a4"/>
        <w:tabs>
          <w:tab w:val="clear" w:pos="4153"/>
          <w:tab w:val="clear" w:pos="8306"/>
        </w:tabs>
        <w:jc w:val="center"/>
        <w:rPr>
          <w:rFonts w:eastAsia="標楷體"/>
        </w:rPr>
      </w:pPr>
    </w:p>
    <w:p w14:paraId="454724C5" w14:textId="05D9FF78" w:rsidR="00DC3758" w:rsidRDefault="00DC3758" w:rsidP="009C5307">
      <w:pPr>
        <w:pStyle w:val="a4"/>
        <w:tabs>
          <w:tab w:val="clear" w:pos="4153"/>
          <w:tab w:val="clear" w:pos="8306"/>
        </w:tabs>
        <w:jc w:val="center"/>
        <w:rPr>
          <w:rFonts w:eastAsia="標楷體"/>
        </w:rPr>
      </w:pPr>
      <w:r>
        <w:rPr>
          <w:rFonts w:eastAsia="標楷體" w:hint="eastAsia"/>
          <w:noProof/>
          <w:szCs w:val="24"/>
        </w:rPr>
        <w:drawing>
          <wp:inline distT="0" distB="0" distL="0" distR="0" wp14:anchorId="1424AB09" wp14:editId="3821CE0B">
            <wp:extent cx="960120" cy="960120"/>
            <wp:effectExtent l="0" t="0" r="0" b="0"/>
            <wp:docPr id="18" name="圖片 18" descr="一張含有 黑色, 黑與白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圖片 18" descr="一張含有 黑色, 黑與白 的圖片&#10;&#10;自動產生的描述"/>
                    <pic:cNvPicPr/>
                  </pic:nvPicPr>
                  <pic:blipFill>
                    <a:blip r:embed="rId11">
                      <a:extLst>
                        <a:ext uri="{28A0092B-C50C-407E-A947-70E740481C1C}">
                          <a14:useLocalDpi xmlns:a14="http://schemas.microsoft.com/office/drawing/2010/main" val="0"/>
                        </a:ext>
                      </a:extLst>
                    </a:blip>
                    <a:stretch>
                      <a:fillRect/>
                    </a:stretch>
                  </pic:blipFill>
                  <pic:spPr>
                    <a:xfrm>
                      <a:off x="0" y="0"/>
                      <a:ext cx="961933" cy="961933"/>
                    </a:xfrm>
                    <a:prstGeom prst="rect">
                      <a:avLst/>
                    </a:prstGeom>
                  </pic:spPr>
                </pic:pic>
              </a:graphicData>
            </a:graphic>
          </wp:inline>
        </w:drawing>
      </w:r>
      <w:r w:rsidR="00F941F2">
        <w:rPr>
          <w:rFonts w:eastAsia="標楷體" w:hint="eastAsia"/>
          <w:noProof/>
          <w:szCs w:val="24"/>
        </w:rPr>
        <w:drawing>
          <wp:inline distT="0" distB="0" distL="0" distR="0" wp14:anchorId="172A5DB0" wp14:editId="4F58DA2A">
            <wp:extent cx="961390" cy="961390"/>
            <wp:effectExtent l="0" t="0" r="0" b="0"/>
            <wp:docPr id="16" name="圖片 16" descr="一張含有 無脊椎動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6" descr="一張含有 無脊椎動物 的圖片&#10;&#10;自動產生的描述"/>
                    <pic:cNvPicPr/>
                  </pic:nvPicPr>
                  <pic:blipFill>
                    <a:blip r:embed="rId12">
                      <a:extLst>
                        <a:ext uri="{28A0092B-C50C-407E-A947-70E740481C1C}">
                          <a14:useLocalDpi xmlns:a14="http://schemas.microsoft.com/office/drawing/2010/main" val="0"/>
                        </a:ext>
                      </a:extLst>
                    </a:blip>
                    <a:stretch>
                      <a:fillRect/>
                    </a:stretch>
                  </pic:blipFill>
                  <pic:spPr>
                    <a:xfrm>
                      <a:off x="0" y="0"/>
                      <a:ext cx="961390" cy="961390"/>
                    </a:xfrm>
                    <a:prstGeom prst="rect">
                      <a:avLst/>
                    </a:prstGeom>
                  </pic:spPr>
                </pic:pic>
              </a:graphicData>
            </a:graphic>
          </wp:inline>
        </w:drawing>
      </w:r>
    </w:p>
    <w:p w14:paraId="2608A45B" w14:textId="744C826A" w:rsidR="009C5307" w:rsidRPr="00201356" w:rsidRDefault="009C5307" w:rsidP="009C5307">
      <w:pPr>
        <w:pStyle w:val="a6"/>
        <w:snapToGrid w:val="0"/>
        <w:jc w:val="center"/>
        <w:rPr>
          <w:rFonts w:eastAsia="標楷體"/>
          <w:b/>
        </w:rPr>
      </w:pPr>
      <w:r w:rsidRPr="00201356">
        <w:rPr>
          <w:rFonts w:eastAsia="標楷體"/>
          <w:b/>
        </w:rPr>
        <w:t>圖</w:t>
      </w:r>
      <w:r w:rsidRPr="00201356">
        <w:rPr>
          <w:rFonts w:eastAsia="標楷體"/>
          <w:b/>
        </w:rPr>
        <w:t xml:space="preserve"> </w:t>
      </w:r>
      <w:r>
        <w:rPr>
          <w:rFonts w:eastAsia="標楷體"/>
          <w:b/>
        </w:rPr>
        <w:t>2</w:t>
      </w:r>
      <w:r w:rsidRPr="00201356">
        <w:rPr>
          <w:rFonts w:eastAsia="標楷體"/>
          <w:b/>
        </w:rPr>
        <w:t xml:space="preserve"> </w:t>
      </w:r>
      <w:r w:rsidR="00F941F2">
        <w:rPr>
          <w:rFonts w:eastAsia="標楷體" w:hint="eastAsia"/>
          <w:b/>
        </w:rPr>
        <w:t>訓練結果遮罩</w:t>
      </w:r>
      <w:r w:rsidR="00F941F2">
        <w:rPr>
          <w:rFonts w:eastAsia="標楷體" w:hint="eastAsia"/>
          <w:b/>
        </w:rPr>
        <w:t>(M</w:t>
      </w:r>
      <w:r w:rsidR="00F941F2">
        <w:rPr>
          <w:rFonts w:eastAsia="標楷體"/>
          <w:b/>
        </w:rPr>
        <w:t>ask</w:t>
      </w:r>
      <w:r w:rsidR="00F941F2">
        <w:rPr>
          <w:rFonts w:eastAsia="標楷體" w:hint="eastAsia"/>
          <w:b/>
        </w:rPr>
        <w:t>)</w:t>
      </w:r>
      <w:r w:rsidR="00F941F2">
        <w:rPr>
          <w:rFonts w:eastAsia="標楷體" w:hint="eastAsia"/>
          <w:b/>
        </w:rPr>
        <w:t>及</w:t>
      </w:r>
      <w:r w:rsidR="004C624B">
        <w:rPr>
          <w:rFonts w:eastAsia="標楷體" w:hint="eastAsia"/>
          <w:b/>
        </w:rPr>
        <w:t>輸出結果</w:t>
      </w:r>
    </w:p>
    <w:p w14:paraId="60F582B5" w14:textId="77777777" w:rsidR="009C5307" w:rsidRPr="009C5307" w:rsidRDefault="009C5307" w:rsidP="009C5307">
      <w:pPr>
        <w:pStyle w:val="a4"/>
        <w:tabs>
          <w:tab w:val="clear" w:pos="4153"/>
          <w:tab w:val="clear" w:pos="8306"/>
        </w:tabs>
        <w:jc w:val="center"/>
        <w:rPr>
          <w:rFonts w:eastAsia="標楷體"/>
        </w:rPr>
      </w:pPr>
    </w:p>
    <w:p w14:paraId="78916053" w14:textId="1DDCCA54" w:rsidR="0011208F" w:rsidRPr="0011208F" w:rsidRDefault="0011208F" w:rsidP="0011208F">
      <w:pPr>
        <w:numPr>
          <w:ilvl w:val="1"/>
          <w:numId w:val="6"/>
        </w:numPr>
        <w:snapToGrid w:val="0"/>
        <w:spacing w:beforeLines="50" w:before="120" w:afterLines="50" w:after="120"/>
        <w:ind w:left="431" w:hanging="431"/>
        <w:rPr>
          <w:rFonts w:eastAsia="標楷體"/>
          <w:b/>
        </w:rPr>
      </w:pPr>
      <w:r w:rsidRPr="0011208F">
        <w:rPr>
          <w:rFonts w:eastAsia="標楷體" w:hint="eastAsia"/>
          <w:b/>
        </w:rPr>
        <w:t>Deep White Balance</w:t>
      </w:r>
      <w:r w:rsidRPr="0011208F">
        <w:rPr>
          <w:rFonts w:eastAsia="標楷體" w:hint="eastAsia"/>
          <w:b/>
        </w:rPr>
        <w:t>白平衡方法</w:t>
      </w:r>
    </w:p>
    <w:p w14:paraId="501F4D1C" w14:textId="03375273" w:rsidR="00D07384" w:rsidRDefault="0011208F" w:rsidP="0011208F">
      <w:pPr>
        <w:pStyle w:val="a4"/>
        <w:tabs>
          <w:tab w:val="clear" w:pos="4153"/>
          <w:tab w:val="clear" w:pos="8306"/>
        </w:tabs>
        <w:rPr>
          <w:rFonts w:eastAsia="標楷體"/>
        </w:rPr>
      </w:pPr>
      <w:r>
        <w:rPr>
          <w:rFonts w:eastAsia="標楷體"/>
        </w:rPr>
        <w:tab/>
      </w:r>
      <w:proofErr w:type="gramStart"/>
      <w:r w:rsidRPr="0011208F">
        <w:rPr>
          <w:rFonts w:eastAsia="標楷體" w:hint="eastAsia"/>
        </w:rPr>
        <w:t>研</w:t>
      </w:r>
      <w:proofErr w:type="gramEnd"/>
      <w:r w:rsidRPr="0011208F">
        <w:rPr>
          <w:rFonts w:eastAsia="標楷體" w:hint="eastAsia"/>
        </w:rPr>
        <w:t>讀各種文獻後，選擇了「</w:t>
      </w:r>
      <w:r w:rsidRPr="0011208F">
        <w:rPr>
          <w:rFonts w:eastAsia="標楷體" w:hint="eastAsia"/>
        </w:rPr>
        <w:t>Deep White-Balance Editing</w:t>
      </w:r>
      <w:r w:rsidRPr="0011208F">
        <w:rPr>
          <w:rFonts w:eastAsia="標楷體" w:hint="eastAsia"/>
        </w:rPr>
        <w:t>」為了處理的問題的關鍵是影像取得不到原始的</w:t>
      </w:r>
      <w:r w:rsidRPr="0011208F">
        <w:rPr>
          <w:rFonts w:eastAsia="標楷體" w:hint="eastAsia"/>
        </w:rPr>
        <w:t>Raw</w:t>
      </w:r>
      <w:r w:rsidRPr="0011208F">
        <w:rPr>
          <w:rFonts w:eastAsia="標楷體" w:hint="eastAsia"/>
        </w:rPr>
        <w:t>圖，所以難以進行正確的白平衡，提出了一個</w:t>
      </w:r>
      <w:r w:rsidRPr="0011208F">
        <w:rPr>
          <w:rFonts w:eastAsia="標楷體" w:hint="eastAsia"/>
        </w:rPr>
        <w:t>DNN</w:t>
      </w:r>
      <w:r w:rsidRPr="0011208F">
        <w:rPr>
          <w:rFonts w:eastAsia="標楷體" w:hint="eastAsia"/>
        </w:rPr>
        <w:t>模型用來處理白平衡錯誤的</w:t>
      </w:r>
      <w:r w:rsidRPr="0011208F">
        <w:rPr>
          <w:rFonts w:eastAsia="標楷體" w:hint="eastAsia"/>
        </w:rPr>
        <w:t>RGB</w:t>
      </w:r>
      <w:r w:rsidRPr="0011208F">
        <w:rPr>
          <w:rFonts w:eastAsia="標楷體" w:hint="eastAsia"/>
        </w:rPr>
        <w:t>影像，也能讓使用者自由編輯</w:t>
      </w:r>
      <w:r w:rsidRPr="0011208F">
        <w:rPr>
          <w:rFonts w:eastAsia="標楷體" w:hint="eastAsia"/>
        </w:rPr>
        <w:t>RGB</w:t>
      </w:r>
      <w:r w:rsidRPr="0011208F">
        <w:rPr>
          <w:rFonts w:eastAsia="標楷體" w:hint="eastAsia"/>
        </w:rPr>
        <w:t>影像白平衡設定。</w:t>
      </w:r>
      <w:proofErr w:type="gramStart"/>
      <w:r w:rsidRPr="0011208F">
        <w:rPr>
          <w:rFonts w:eastAsia="標楷體" w:hint="eastAsia"/>
        </w:rPr>
        <w:t>以此篇</w:t>
      </w:r>
      <w:proofErr w:type="gramEnd"/>
      <w:r w:rsidRPr="0011208F">
        <w:rPr>
          <w:rFonts w:eastAsia="標楷體" w:hint="eastAsia"/>
        </w:rPr>
        <w:t>論文裡的白平衡模型</w:t>
      </w:r>
      <w:r w:rsidRPr="0011208F">
        <w:rPr>
          <w:rFonts w:eastAsia="標楷體" w:hint="eastAsia"/>
        </w:rPr>
        <w:t>(</w:t>
      </w:r>
      <w:r w:rsidRPr="0011208F">
        <w:rPr>
          <w:rFonts w:eastAsia="標楷體" w:hint="eastAsia"/>
        </w:rPr>
        <w:t>以</w:t>
      </w:r>
      <w:proofErr w:type="spellStart"/>
      <w:r w:rsidRPr="0011208F">
        <w:rPr>
          <w:rFonts w:eastAsia="標楷體" w:hint="eastAsia"/>
        </w:rPr>
        <w:t>PyTorch</w:t>
      </w:r>
      <w:proofErr w:type="spellEnd"/>
      <w:r w:rsidRPr="0011208F">
        <w:rPr>
          <w:rFonts w:eastAsia="標楷體" w:hint="eastAsia"/>
        </w:rPr>
        <w:t>架構</w:t>
      </w:r>
      <w:r w:rsidRPr="0011208F">
        <w:rPr>
          <w:rFonts w:eastAsia="標楷體" w:hint="eastAsia"/>
        </w:rPr>
        <w:t>)</w:t>
      </w:r>
      <w:r w:rsidRPr="0011208F">
        <w:rPr>
          <w:rFonts w:eastAsia="標楷體" w:hint="eastAsia"/>
        </w:rPr>
        <w:t>作為我們此專題白平衡的基準，除了原本論文提供的資料集</w:t>
      </w:r>
      <w:r w:rsidRPr="0011208F">
        <w:rPr>
          <w:rFonts w:eastAsia="標楷體" w:hint="eastAsia"/>
        </w:rPr>
        <w:t>(</w:t>
      </w:r>
      <w:r w:rsidRPr="0011208F">
        <w:rPr>
          <w:rFonts w:eastAsia="標楷體" w:hint="eastAsia"/>
        </w:rPr>
        <w:t>同影像兩張一組，一張經過白平衡，一張給予不同色溫</w:t>
      </w:r>
      <w:r w:rsidRPr="0011208F">
        <w:rPr>
          <w:rFonts w:eastAsia="標楷體" w:hint="eastAsia"/>
        </w:rPr>
        <w:t>)</w:t>
      </w:r>
      <w:r w:rsidRPr="0011208F">
        <w:rPr>
          <w:rFonts w:eastAsia="標楷體" w:hint="eastAsia"/>
        </w:rPr>
        <w:t>，還加入</w:t>
      </w:r>
      <w:r w:rsidRPr="0011208F">
        <w:rPr>
          <w:rFonts w:eastAsia="標楷體" w:hint="eastAsia"/>
        </w:rPr>
        <w:t>800</w:t>
      </w:r>
      <w:r w:rsidRPr="0011208F">
        <w:rPr>
          <w:rFonts w:eastAsia="標楷體" w:hint="eastAsia"/>
        </w:rPr>
        <w:t>張的眼睛訓練集影像，可以更加符合我們使用的場景。</w:t>
      </w:r>
    </w:p>
    <w:p w14:paraId="4C2135ED" w14:textId="77777777" w:rsidR="00893E2E" w:rsidRDefault="00A3495F" w:rsidP="00893E2E">
      <w:pPr>
        <w:numPr>
          <w:ilvl w:val="1"/>
          <w:numId w:val="6"/>
        </w:numPr>
        <w:snapToGrid w:val="0"/>
        <w:spacing w:beforeLines="50" w:before="120" w:afterLines="50" w:after="120"/>
        <w:ind w:left="431" w:hanging="431"/>
        <w:rPr>
          <w:rFonts w:eastAsia="標楷體"/>
          <w:b/>
        </w:rPr>
      </w:pPr>
      <w:r w:rsidRPr="00A3495F">
        <w:rPr>
          <w:rFonts w:eastAsia="標楷體" w:hint="eastAsia"/>
          <w:b/>
        </w:rPr>
        <w:t>預測方法</w:t>
      </w:r>
    </w:p>
    <w:p w14:paraId="6B1CA11B" w14:textId="77777777" w:rsidR="007839DE" w:rsidRDefault="00893E2E" w:rsidP="00893E2E">
      <w:pPr>
        <w:pStyle w:val="a4"/>
        <w:tabs>
          <w:tab w:val="clear" w:pos="4153"/>
          <w:tab w:val="clear" w:pos="8306"/>
        </w:tabs>
        <w:rPr>
          <w:rFonts w:eastAsia="標楷體"/>
        </w:rPr>
      </w:pPr>
      <w:r>
        <w:rPr>
          <w:rFonts w:eastAsia="標楷體"/>
        </w:rPr>
        <w:tab/>
      </w:r>
      <w:r w:rsidRPr="00893E2E">
        <w:rPr>
          <w:rFonts w:eastAsia="標楷體" w:hint="eastAsia"/>
        </w:rPr>
        <w:t>貧血判別是基於眼瞼顏色，偏紅則血色素濃度較高，貧血機率較低，而偏粉紅或白則血色素濃度較低，貧血機率較高，所以我們透過眼瞼顏色與血色素回歸預測，判別血色素濃度，具體方法如下：</w:t>
      </w:r>
    </w:p>
    <w:p w14:paraId="348B6DA0" w14:textId="45674803" w:rsidR="007839DE" w:rsidRPr="007839DE" w:rsidRDefault="00C071FA" w:rsidP="007839DE">
      <w:pPr>
        <w:pStyle w:val="a4"/>
        <w:tabs>
          <w:tab w:val="clear" w:pos="4153"/>
          <w:tab w:val="clear" w:pos="8306"/>
        </w:tabs>
        <w:rPr>
          <w:rFonts w:eastAsia="標楷體"/>
          <w:szCs w:val="24"/>
        </w:rPr>
      </w:pPr>
      <w:r>
        <w:rPr>
          <w:rFonts w:eastAsia="標楷體"/>
        </w:rPr>
        <w:tab/>
      </w:r>
      <w:r w:rsidR="00893E2E" w:rsidRPr="00893E2E">
        <w:rPr>
          <w:rFonts w:eastAsia="標楷體" w:hint="eastAsia"/>
        </w:rPr>
        <w:t>讀取</w:t>
      </w:r>
      <w:proofErr w:type="gramStart"/>
      <w:r w:rsidR="00893E2E" w:rsidRPr="00893E2E">
        <w:rPr>
          <w:rFonts w:eastAsia="標楷體" w:hint="eastAsia"/>
        </w:rPr>
        <w:t>裁切後只有</w:t>
      </w:r>
      <w:proofErr w:type="gramEnd"/>
      <w:r w:rsidR="00893E2E" w:rsidRPr="00893E2E">
        <w:rPr>
          <w:rFonts w:eastAsia="標楷體" w:hint="eastAsia"/>
        </w:rPr>
        <w:t>眼瞼的照片，並分成</w:t>
      </w:r>
      <w:r w:rsidR="00893E2E" w:rsidRPr="00893E2E">
        <w:rPr>
          <w:rFonts w:eastAsia="標楷體" w:hint="eastAsia"/>
        </w:rPr>
        <w:t>R</w:t>
      </w:r>
      <w:r w:rsidR="00893E2E" w:rsidRPr="00893E2E">
        <w:rPr>
          <w:rFonts w:eastAsia="標楷體" w:hint="eastAsia"/>
        </w:rPr>
        <w:t>、</w:t>
      </w:r>
      <w:r w:rsidR="00893E2E" w:rsidRPr="00893E2E">
        <w:rPr>
          <w:rFonts w:eastAsia="標楷體" w:hint="eastAsia"/>
        </w:rPr>
        <w:t>G</w:t>
      </w:r>
      <w:r w:rsidR="00893E2E" w:rsidRPr="00893E2E">
        <w:rPr>
          <w:rFonts w:eastAsia="標楷體" w:hint="eastAsia"/>
        </w:rPr>
        <w:t>、</w:t>
      </w:r>
      <w:r w:rsidR="00893E2E" w:rsidRPr="00893E2E">
        <w:rPr>
          <w:rFonts w:eastAsia="標楷體" w:hint="eastAsia"/>
        </w:rPr>
        <w:t>B</w:t>
      </w:r>
      <w:r w:rsidR="00893E2E" w:rsidRPr="00893E2E">
        <w:rPr>
          <w:rFonts w:eastAsia="標楷體" w:hint="eastAsia"/>
        </w:rPr>
        <w:t>三個通道，光學中當</w:t>
      </w:r>
      <w:r w:rsidR="00893E2E" w:rsidRPr="00893E2E">
        <w:rPr>
          <w:rFonts w:eastAsia="標楷體"/>
        </w:rPr>
        <w:t>R</w:t>
      </w:r>
      <w:r w:rsidR="00893E2E" w:rsidRPr="00893E2E">
        <w:rPr>
          <w:rFonts w:eastAsia="標楷體"/>
        </w:rPr>
        <w:t>、</w:t>
      </w:r>
      <w:r w:rsidR="00893E2E" w:rsidRPr="00893E2E">
        <w:rPr>
          <w:rFonts w:eastAsia="標楷體"/>
        </w:rPr>
        <w:t>G</w:t>
      </w:r>
      <w:r w:rsidR="00893E2E" w:rsidRPr="00893E2E">
        <w:rPr>
          <w:rFonts w:eastAsia="標楷體"/>
        </w:rPr>
        <w:t>、</w:t>
      </w:r>
      <w:r w:rsidR="00893E2E" w:rsidRPr="00893E2E">
        <w:rPr>
          <w:rFonts w:eastAsia="標楷體"/>
        </w:rPr>
        <w:t>B</w:t>
      </w:r>
      <w:r w:rsidR="00893E2E" w:rsidRPr="00893E2E">
        <w:rPr>
          <w:rFonts w:eastAsia="標楷體" w:hint="eastAsia"/>
        </w:rPr>
        <w:t>三個色彩的數值相同時，會是白光</w:t>
      </w:r>
      <w:r w:rsidR="00893E2E" w:rsidRPr="00893E2E">
        <w:rPr>
          <w:rFonts w:eastAsia="標楷體" w:hint="eastAsia"/>
        </w:rPr>
        <w:t>(</w:t>
      </w:r>
      <w:r w:rsidR="00893E2E" w:rsidRPr="00893E2E">
        <w:rPr>
          <w:rFonts w:eastAsia="標楷體" w:hint="eastAsia"/>
        </w:rPr>
        <w:t>但會因為光強度在影像上不會純白，當光強度偏低，可能會是偏灰色</w:t>
      </w:r>
      <w:r w:rsidR="00893E2E" w:rsidRPr="00893E2E">
        <w:rPr>
          <w:rFonts w:eastAsia="標楷體" w:hint="eastAsia"/>
        </w:rPr>
        <w:t>)</w:t>
      </w:r>
      <w:r w:rsidR="00893E2E" w:rsidRPr="00893E2E">
        <w:rPr>
          <w:rFonts w:eastAsia="標楷體" w:hint="eastAsia"/>
        </w:rPr>
        <w:t>，當</w:t>
      </w:r>
      <w:r w:rsidR="00893E2E" w:rsidRPr="00893E2E">
        <w:rPr>
          <w:rFonts w:eastAsia="標楷體" w:hint="eastAsia"/>
        </w:rPr>
        <w:t>R</w:t>
      </w:r>
      <w:r w:rsidR="00893E2E" w:rsidRPr="00893E2E">
        <w:rPr>
          <w:rFonts w:eastAsia="標楷體" w:hint="eastAsia"/>
        </w:rPr>
        <w:t>通道的數值相對於</w:t>
      </w:r>
      <w:r w:rsidR="00893E2E" w:rsidRPr="00893E2E">
        <w:rPr>
          <w:rFonts w:eastAsia="標楷體"/>
        </w:rPr>
        <w:t>G</w:t>
      </w:r>
      <w:r w:rsidR="00893E2E" w:rsidRPr="00893E2E">
        <w:rPr>
          <w:rFonts w:eastAsia="標楷體"/>
        </w:rPr>
        <w:t>、</w:t>
      </w:r>
      <w:r w:rsidR="00893E2E" w:rsidRPr="00893E2E">
        <w:rPr>
          <w:rFonts w:eastAsia="標楷體"/>
        </w:rPr>
        <w:t>B</w:t>
      </w:r>
      <w:r w:rsidR="00893E2E" w:rsidRPr="00893E2E">
        <w:rPr>
          <w:rFonts w:eastAsia="標楷體" w:hint="eastAsia"/>
        </w:rPr>
        <w:t>通道的數值偏高，則會越來越偏紅色，</w:t>
      </w:r>
      <w:proofErr w:type="gramStart"/>
      <w:r w:rsidR="00893E2E" w:rsidRPr="00893E2E">
        <w:rPr>
          <w:rFonts w:eastAsia="標楷體" w:hint="eastAsia"/>
        </w:rPr>
        <w:t>反之，</w:t>
      </w:r>
      <w:proofErr w:type="gramEnd"/>
      <w:r w:rsidR="00893E2E" w:rsidRPr="00893E2E">
        <w:rPr>
          <w:rFonts w:eastAsia="標楷體" w:hint="eastAsia"/>
        </w:rPr>
        <w:t>當</w:t>
      </w:r>
      <w:r w:rsidR="00893E2E" w:rsidRPr="00893E2E">
        <w:rPr>
          <w:rFonts w:eastAsia="標楷體" w:hint="eastAsia"/>
        </w:rPr>
        <w:t>R</w:t>
      </w:r>
      <w:r w:rsidR="00893E2E" w:rsidRPr="00893E2E">
        <w:rPr>
          <w:rFonts w:eastAsia="標楷體" w:hint="eastAsia"/>
        </w:rPr>
        <w:t>通道的數值與</w:t>
      </w:r>
      <w:r w:rsidR="00893E2E" w:rsidRPr="00893E2E">
        <w:rPr>
          <w:rFonts w:eastAsia="標楷體"/>
        </w:rPr>
        <w:t>G</w:t>
      </w:r>
      <w:r w:rsidR="00893E2E" w:rsidRPr="00893E2E">
        <w:rPr>
          <w:rFonts w:eastAsia="標楷體"/>
        </w:rPr>
        <w:t>、</w:t>
      </w:r>
      <w:r w:rsidR="00893E2E" w:rsidRPr="00893E2E">
        <w:rPr>
          <w:rFonts w:eastAsia="標楷體"/>
        </w:rPr>
        <w:t>B</w:t>
      </w:r>
      <w:r w:rsidR="00893E2E" w:rsidRPr="00893E2E">
        <w:rPr>
          <w:rFonts w:eastAsia="標楷體" w:hint="eastAsia"/>
        </w:rPr>
        <w:t>通道的數</w:t>
      </w:r>
      <w:r w:rsidR="00893E2E" w:rsidRPr="005E07BD">
        <w:rPr>
          <w:rFonts w:eastAsia="標楷體" w:hint="eastAsia"/>
          <w:szCs w:val="24"/>
        </w:rPr>
        <w:t>值相差不多，則會</w:t>
      </w:r>
      <w:proofErr w:type="gramStart"/>
      <w:r w:rsidR="00893E2E" w:rsidRPr="005E07BD">
        <w:rPr>
          <w:rFonts w:eastAsia="標楷體" w:hint="eastAsia"/>
          <w:szCs w:val="24"/>
        </w:rPr>
        <w:t>越來越偏灰或是</w:t>
      </w:r>
      <w:proofErr w:type="gramEnd"/>
      <w:r w:rsidR="00893E2E" w:rsidRPr="005E07BD">
        <w:rPr>
          <w:rFonts w:eastAsia="標楷體" w:hint="eastAsia"/>
          <w:szCs w:val="24"/>
        </w:rPr>
        <w:t>粉紅色，所以</w:t>
      </w:r>
      <w:r w:rsidR="00893E2E" w:rsidRPr="005E07BD">
        <w:rPr>
          <w:rFonts w:eastAsia="標楷體" w:hint="eastAsia"/>
          <w:szCs w:val="24"/>
        </w:rPr>
        <w:t>R</w:t>
      </w:r>
      <w:r w:rsidR="00893E2E" w:rsidRPr="005E07BD">
        <w:rPr>
          <w:rFonts w:eastAsia="標楷體" w:hint="eastAsia"/>
          <w:szCs w:val="24"/>
        </w:rPr>
        <w:t>通道的數值與</w:t>
      </w:r>
      <w:r w:rsidR="00893E2E" w:rsidRPr="005E07BD">
        <w:rPr>
          <w:rFonts w:eastAsia="標楷體"/>
          <w:szCs w:val="24"/>
        </w:rPr>
        <w:t>G</w:t>
      </w:r>
      <w:r w:rsidR="00893E2E" w:rsidRPr="005E07BD">
        <w:rPr>
          <w:rFonts w:eastAsia="標楷體"/>
          <w:szCs w:val="24"/>
        </w:rPr>
        <w:t>、</w:t>
      </w:r>
      <w:r w:rsidR="00893E2E" w:rsidRPr="005E07BD">
        <w:rPr>
          <w:rFonts w:eastAsia="標楷體"/>
          <w:szCs w:val="24"/>
        </w:rPr>
        <w:t>B</w:t>
      </w:r>
      <w:r w:rsidR="00893E2E" w:rsidRPr="005E07BD">
        <w:rPr>
          <w:rFonts w:eastAsia="標楷體" w:hint="eastAsia"/>
          <w:szCs w:val="24"/>
        </w:rPr>
        <w:t>通道的數值差異應會與血色素正相關。透過</w:t>
      </w:r>
      <w:r w:rsidR="00893E2E" w:rsidRPr="005E07BD">
        <w:rPr>
          <w:rFonts w:eastAsia="標楷體" w:hint="eastAsia"/>
          <w:szCs w:val="24"/>
        </w:rPr>
        <w:t>P</w:t>
      </w:r>
      <w:r w:rsidR="00893E2E" w:rsidRPr="005E07BD">
        <w:rPr>
          <w:rFonts w:eastAsia="標楷體"/>
          <w:szCs w:val="24"/>
        </w:rPr>
        <w:t>ython</w:t>
      </w:r>
      <w:r w:rsidR="00893E2E" w:rsidRPr="005E07BD">
        <w:rPr>
          <w:rFonts w:eastAsia="標楷體" w:hint="eastAsia"/>
          <w:szCs w:val="24"/>
        </w:rPr>
        <w:t>，我們可以計算出一張眼瞼每</w:t>
      </w:r>
      <w:proofErr w:type="gramStart"/>
      <w:r w:rsidR="00893E2E" w:rsidRPr="005E07BD">
        <w:rPr>
          <w:rFonts w:eastAsia="標楷體" w:hint="eastAsia"/>
          <w:szCs w:val="24"/>
        </w:rPr>
        <w:t>個</w:t>
      </w:r>
      <w:proofErr w:type="gramEnd"/>
      <w:r w:rsidR="00893E2E" w:rsidRPr="005E07BD">
        <w:rPr>
          <w:rFonts w:eastAsia="標楷體" w:hint="eastAsia"/>
          <w:szCs w:val="24"/>
        </w:rPr>
        <w:t>像素點的</w:t>
      </w:r>
      <m:oMath>
        <m:sSub>
          <m:sSubPr>
            <m:ctrlPr>
              <w:rPr>
                <w:rFonts w:ascii="Cambria Math" w:eastAsia="標楷體" w:hAnsi="Cambria Math"/>
                <w:i/>
                <w:szCs w:val="24"/>
              </w:rPr>
            </m:ctrlPr>
          </m:sSubPr>
          <m:e>
            <m:r>
              <w:rPr>
                <w:rFonts w:ascii="Cambria Math" w:eastAsia="標楷體" w:hAnsi="Cambria Math"/>
                <w:szCs w:val="24"/>
              </w:rPr>
              <m:t>C</m:t>
            </m:r>
          </m:e>
          <m:sub>
            <m:r>
              <w:rPr>
                <w:rFonts w:ascii="Cambria Math" w:eastAsia="標楷體" w:hAnsi="Cambria Math" w:hint="eastAsia"/>
                <w:szCs w:val="24"/>
              </w:rPr>
              <m:t>R</m:t>
            </m:r>
            <m:r>
              <w:rPr>
                <w:rFonts w:ascii="Cambria Math" w:hAnsi="Cambria Math" w:cs="Arial"/>
                <w:szCs w:val="24"/>
                <w:shd w:val="clear" w:color="auto" w:fill="FFFFFF"/>
              </w:rPr>
              <m:t>m</m:t>
            </m:r>
            <m:r>
              <w:rPr>
                <w:rFonts w:ascii="Cambria Math" w:hAnsi="Cambria Math" w:cs="Arial" w:hint="eastAsia"/>
                <w:szCs w:val="24"/>
                <w:shd w:val="clear" w:color="auto" w:fill="FFFFFF"/>
              </w:rPr>
              <m:t>GB</m:t>
            </m:r>
          </m:sub>
        </m:sSub>
      </m:oMath>
    </w:p>
    <w:p w14:paraId="5F69375B" w14:textId="0255E6FF" w:rsidR="00893E2E" w:rsidRPr="00C071FA" w:rsidRDefault="00000000" w:rsidP="007839DE">
      <w:pPr>
        <w:pStyle w:val="a4"/>
        <w:tabs>
          <w:tab w:val="clear" w:pos="4153"/>
          <w:tab w:val="clear" w:pos="8306"/>
        </w:tabs>
        <w:rPr>
          <w:rFonts w:eastAsia="標楷體"/>
          <w:szCs w:val="24"/>
        </w:rPr>
      </w:pPr>
      <m:oMathPara>
        <m:oMath>
          <m:sSub>
            <m:sSubPr>
              <m:ctrlPr>
                <w:rPr>
                  <w:rFonts w:ascii="Cambria Math" w:eastAsia="標楷體" w:hAnsi="Cambria Math"/>
                  <w:i/>
                  <w:szCs w:val="24"/>
                </w:rPr>
              </m:ctrlPr>
            </m:sSubPr>
            <m:e>
              <m:sSub>
                <m:sSubPr>
                  <m:ctrlPr>
                    <w:rPr>
                      <w:rFonts w:ascii="Cambria Math" w:eastAsia="標楷體" w:hAnsi="Cambria Math"/>
                      <w:i/>
                      <w:szCs w:val="24"/>
                    </w:rPr>
                  </m:ctrlPr>
                </m:sSubPr>
                <m:e>
                  <m:r>
                    <w:rPr>
                      <w:rFonts w:ascii="Cambria Math" w:eastAsia="標楷體" w:hAnsi="Cambria Math"/>
                      <w:szCs w:val="24"/>
                    </w:rPr>
                    <m:t>C</m:t>
                  </m:r>
                </m:e>
                <m:sub>
                  <m:r>
                    <w:rPr>
                      <w:rFonts w:ascii="Cambria Math" w:eastAsia="標楷體" w:hAnsi="Cambria Math" w:hint="eastAsia"/>
                      <w:szCs w:val="24"/>
                    </w:rPr>
                    <m:t>R</m:t>
                  </m:r>
                  <m:r>
                    <w:rPr>
                      <w:rFonts w:ascii="Cambria Math" w:hAnsi="Cambria Math" w:cs="Arial"/>
                      <w:szCs w:val="24"/>
                      <w:shd w:val="clear" w:color="auto" w:fill="FFFFFF"/>
                    </w:rPr>
                    <m:t>m</m:t>
                  </m:r>
                  <m:r>
                    <w:rPr>
                      <w:rFonts w:ascii="Cambria Math" w:hAnsi="Cambria Math" w:cs="Arial" w:hint="eastAsia"/>
                      <w:szCs w:val="24"/>
                      <w:shd w:val="clear" w:color="auto" w:fill="FFFFFF"/>
                    </w:rPr>
                    <m:t>GB</m:t>
                  </m:r>
                </m:sub>
              </m:sSub>
              <m:r>
                <w:rPr>
                  <w:rFonts w:ascii="Cambria Math" w:eastAsia="標楷體" w:hAnsi="Cambria Math" w:hint="eastAsia"/>
                  <w:szCs w:val="24"/>
                </w:rPr>
                <m:t>=</m:t>
              </m:r>
              <m:r>
                <w:rPr>
                  <w:rFonts w:ascii="Cambria Math" w:eastAsia="標楷體" w:hAnsi="Cambria Math"/>
                  <w:szCs w:val="24"/>
                </w:rPr>
                <m:t>C</m:t>
              </m:r>
            </m:e>
            <m:sub>
              <m:r>
                <w:rPr>
                  <w:rFonts w:ascii="Cambria Math" w:eastAsia="標楷體" w:hAnsi="Cambria Math" w:hint="eastAsia"/>
                  <w:szCs w:val="24"/>
                </w:rPr>
                <m:t>R</m:t>
              </m:r>
            </m:sub>
          </m:sSub>
          <m:r>
            <w:rPr>
              <w:rFonts w:ascii="Cambria Math" w:eastAsia="標楷體" w:hAnsi="Cambria Math"/>
              <w:szCs w:val="24"/>
            </w:rPr>
            <m:t>-(0.5*</m:t>
          </m:r>
          <m:sSub>
            <m:sSubPr>
              <m:ctrlPr>
                <w:rPr>
                  <w:rFonts w:ascii="Cambria Math" w:eastAsia="標楷體" w:hAnsi="Cambria Math"/>
                  <w:i/>
                  <w:szCs w:val="24"/>
                </w:rPr>
              </m:ctrlPr>
            </m:sSubPr>
            <m:e>
              <m:r>
                <w:rPr>
                  <w:rFonts w:ascii="Cambria Math" w:eastAsia="標楷體" w:hAnsi="Cambria Math"/>
                  <w:szCs w:val="24"/>
                </w:rPr>
                <m:t>C</m:t>
              </m:r>
            </m:e>
            <m:sub>
              <m:r>
                <w:rPr>
                  <w:rFonts w:ascii="Cambria Math" w:eastAsia="標楷體" w:hAnsi="Cambria Math"/>
                  <w:szCs w:val="24"/>
                </w:rPr>
                <m:t>G</m:t>
              </m:r>
            </m:sub>
          </m:sSub>
          <m:r>
            <w:rPr>
              <w:rFonts w:ascii="Cambria Math" w:eastAsia="標楷體" w:hAnsi="Cambria Math"/>
              <w:szCs w:val="24"/>
            </w:rPr>
            <m:t>+0.5*</m:t>
          </m:r>
          <m:sSub>
            <m:sSubPr>
              <m:ctrlPr>
                <w:rPr>
                  <w:rFonts w:ascii="Cambria Math" w:eastAsia="標楷體" w:hAnsi="Cambria Math"/>
                  <w:i/>
                  <w:szCs w:val="24"/>
                </w:rPr>
              </m:ctrlPr>
            </m:sSubPr>
            <m:e>
              <m:r>
                <w:rPr>
                  <w:rFonts w:ascii="Cambria Math" w:eastAsia="標楷體" w:hAnsi="Cambria Math"/>
                  <w:szCs w:val="24"/>
                </w:rPr>
                <m:t>C</m:t>
              </m:r>
            </m:e>
            <m:sub>
              <m:r>
                <w:rPr>
                  <w:rFonts w:ascii="Cambria Math" w:eastAsia="標楷體" w:hAnsi="Cambria Math"/>
                  <w:szCs w:val="24"/>
                </w:rPr>
                <m:t>B</m:t>
              </m:r>
            </m:sub>
          </m:sSub>
          <m:r>
            <w:rPr>
              <w:rFonts w:ascii="Cambria Math" w:eastAsia="標楷體" w:hAnsi="Cambria Math"/>
              <w:szCs w:val="24"/>
            </w:rPr>
            <m:t>)</m:t>
          </m:r>
        </m:oMath>
      </m:oMathPara>
    </w:p>
    <w:p w14:paraId="7D51FE2B" w14:textId="77777777" w:rsidR="00C071FA" w:rsidRPr="007839DE" w:rsidRDefault="00C071FA" w:rsidP="007839DE">
      <w:pPr>
        <w:pStyle w:val="a4"/>
        <w:tabs>
          <w:tab w:val="clear" w:pos="4153"/>
          <w:tab w:val="clear" w:pos="8306"/>
        </w:tabs>
        <w:rPr>
          <w:rFonts w:eastAsia="標楷體"/>
        </w:rPr>
      </w:pPr>
    </w:p>
    <w:p w14:paraId="76770177" w14:textId="77777777" w:rsidR="00D15FA6" w:rsidRDefault="00000000" w:rsidP="00C071FA">
      <w:pPr>
        <w:pStyle w:val="ae"/>
        <w:ind w:leftChars="0" w:left="1920"/>
        <w:rPr>
          <w:rFonts w:ascii="Times New Roman" w:eastAsia="標楷體" w:hAnsi="Times New Roman" w:cs="Times New Roman"/>
          <w:sz w:val="20"/>
          <w:szCs w:val="20"/>
        </w:rPr>
      </w:pPr>
      <m:oMathPara>
        <m:oMath>
          <m:sSub>
            <m:sSubPr>
              <m:ctrlPr>
                <w:rPr>
                  <w:rFonts w:ascii="Cambria Math" w:eastAsia="標楷體" w:hAnsi="Cambria Math" w:cs="Times New Roman"/>
                  <w:i/>
                  <w:sz w:val="20"/>
                  <w:szCs w:val="20"/>
                </w:rPr>
              </m:ctrlPr>
            </m:sSubPr>
            <m:e>
              <m:r>
                <w:rPr>
                  <w:rFonts w:ascii="Cambria Math" w:eastAsia="標楷體" w:hAnsi="Cambria Math" w:cs="Times New Roman"/>
                  <w:sz w:val="20"/>
                  <w:szCs w:val="20"/>
                </w:rPr>
                <m:t>C</m:t>
              </m:r>
            </m:e>
            <m:sub>
              <m:r>
                <w:rPr>
                  <w:rFonts w:ascii="Cambria Math" w:eastAsia="標楷體" w:hAnsi="Cambria Math" w:cs="Times New Roman" w:hint="eastAsia"/>
                  <w:sz w:val="20"/>
                  <w:szCs w:val="20"/>
                </w:rPr>
                <m:t>R</m:t>
              </m:r>
            </m:sub>
          </m:sSub>
          <m:r>
            <w:rPr>
              <w:rFonts w:ascii="Cambria Math" w:eastAsia="標楷體" w:hAnsi="Cambria Math" w:cs="Times New Roman"/>
              <w:sz w:val="20"/>
              <w:szCs w:val="20"/>
            </w:rPr>
            <m:t>:</m:t>
          </m:r>
          <m:r>
            <m:rPr>
              <m:sty m:val="p"/>
            </m:rPr>
            <w:rPr>
              <w:rFonts w:ascii="Cambria Math" w:eastAsia="標楷體" w:hAnsi="Cambria Math" w:cs="Times New Roman" w:hint="eastAsia"/>
              <w:sz w:val="20"/>
              <w:szCs w:val="20"/>
            </w:rPr>
            <m:t>R</m:t>
          </m:r>
          <m:r>
            <m:rPr>
              <m:sty m:val="p"/>
            </m:rPr>
            <w:rPr>
              <w:rFonts w:ascii="Cambria Math" w:eastAsia="標楷體" w:hAnsi="Cambria Math" w:cs="Times New Roman" w:hint="eastAsia"/>
              <w:sz w:val="20"/>
              <w:szCs w:val="20"/>
            </w:rPr>
            <m:t>通道的數值</m:t>
          </m:r>
          <m:r>
            <m:rPr>
              <m:sty m:val="p"/>
            </m:rPr>
            <w:rPr>
              <w:rFonts w:ascii="Cambria Math" w:eastAsia="標楷體" w:hAnsi="Times New Roman" w:cs="Times New Roman"/>
              <w:sz w:val="20"/>
              <w:szCs w:val="20"/>
            </w:rPr>
            <m:t>,</m:t>
          </m:r>
          <m:sSub>
            <m:sSubPr>
              <m:ctrlPr>
                <w:rPr>
                  <w:rFonts w:ascii="Cambria Math" w:eastAsia="標楷體" w:hAnsi="Cambria Math" w:cs="Times New Roman"/>
                  <w:i/>
                  <w:sz w:val="20"/>
                  <w:szCs w:val="20"/>
                </w:rPr>
              </m:ctrlPr>
            </m:sSubPr>
            <m:e>
              <m:r>
                <w:rPr>
                  <w:rFonts w:ascii="Cambria Math" w:eastAsia="標楷體" w:hAnsi="Cambria Math" w:cs="Times New Roman"/>
                  <w:sz w:val="20"/>
                  <w:szCs w:val="20"/>
                </w:rPr>
                <m:t>C</m:t>
              </m:r>
            </m:e>
            <m:sub>
              <m:r>
                <w:rPr>
                  <w:rFonts w:ascii="Cambria Math" w:eastAsia="標楷體" w:hAnsi="Cambria Math" w:cs="Times New Roman"/>
                  <w:sz w:val="20"/>
                  <w:szCs w:val="20"/>
                </w:rPr>
                <m:t>G</m:t>
              </m:r>
            </m:sub>
          </m:sSub>
          <m:r>
            <w:rPr>
              <w:rFonts w:ascii="Cambria Math" w:eastAsia="標楷體" w:hAnsi="Cambria Math" w:cs="Times New Roman"/>
              <w:sz w:val="20"/>
              <w:szCs w:val="20"/>
            </w:rPr>
            <m:t>:</m:t>
          </m:r>
          <m:r>
            <m:rPr>
              <m:sty m:val="p"/>
            </m:rPr>
            <w:rPr>
              <w:rFonts w:ascii="Cambria Math" w:eastAsia="標楷體" w:hAnsi="Cambria Math" w:cs="Times New Roman"/>
              <w:sz w:val="20"/>
              <w:szCs w:val="20"/>
            </w:rPr>
            <m:t>G</m:t>
          </m:r>
          <m:r>
            <m:rPr>
              <m:sty m:val="p"/>
            </m:rPr>
            <w:rPr>
              <w:rFonts w:ascii="Cambria Math" w:eastAsia="標楷體" w:hAnsi="Cambria Math" w:cs="Times New Roman" w:hint="eastAsia"/>
              <w:sz w:val="20"/>
              <w:szCs w:val="20"/>
            </w:rPr>
            <m:t>通道的數值</m:t>
          </m:r>
          <m:r>
            <w:rPr>
              <w:rFonts w:ascii="Cambria Math" w:eastAsia="標楷體" w:hAnsi="Cambria Math" w:cs="Times New Roman"/>
              <w:sz w:val="20"/>
              <w:szCs w:val="20"/>
            </w:rPr>
            <m:t>,</m:t>
          </m:r>
          <m:sSub>
            <m:sSubPr>
              <m:ctrlPr>
                <w:rPr>
                  <w:rFonts w:ascii="Cambria Math" w:eastAsia="標楷體" w:hAnsi="Cambria Math" w:cs="Times New Roman"/>
                  <w:i/>
                  <w:sz w:val="20"/>
                  <w:szCs w:val="20"/>
                </w:rPr>
              </m:ctrlPr>
            </m:sSubPr>
            <m:e>
              <m:r>
                <w:rPr>
                  <w:rFonts w:ascii="Cambria Math" w:eastAsia="標楷體" w:hAnsi="Cambria Math" w:cs="Times New Roman"/>
                  <w:sz w:val="20"/>
                  <w:szCs w:val="20"/>
                </w:rPr>
                <m:t>C</m:t>
              </m:r>
            </m:e>
            <m:sub>
              <m:r>
                <w:rPr>
                  <w:rFonts w:ascii="Cambria Math" w:eastAsia="標楷體" w:hAnsi="Cambria Math" w:cs="Times New Roman"/>
                  <w:sz w:val="20"/>
                  <w:szCs w:val="20"/>
                </w:rPr>
                <m:t>B</m:t>
              </m:r>
            </m:sub>
          </m:sSub>
          <m:r>
            <w:rPr>
              <w:rFonts w:ascii="Cambria Math" w:eastAsia="標楷體" w:hAnsi="Cambria Math" w:cs="Times New Roman"/>
              <w:sz w:val="20"/>
              <w:szCs w:val="20"/>
            </w:rPr>
            <m:t>:</m:t>
          </m:r>
          <m:r>
            <m:rPr>
              <m:sty m:val="p"/>
            </m:rPr>
            <w:rPr>
              <w:rFonts w:ascii="Cambria Math" w:eastAsia="標楷體" w:hAnsi="Cambria Math" w:cs="Times New Roman"/>
              <w:sz w:val="20"/>
              <w:szCs w:val="20"/>
            </w:rPr>
            <m:t>B</m:t>
          </m:r>
          <m:r>
            <m:rPr>
              <m:sty m:val="p"/>
            </m:rPr>
            <w:rPr>
              <w:rFonts w:ascii="Cambria Math" w:eastAsia="標楷體" w:hAnsi="Cambria Math" w:cs="Times New Roman" w:hint="eastAsia"/>
              <w:sz w:val="20"/>
              <w:szCs w:val="20"/>
            </w:rPr>
            <m:t>通道的數值</m:t>
          </m:r>
        </m:oMath>
      </m:oMathPara>
    </w:p>
    <w:p w14:paraId="6E1636E5" w14:textId="68DDFD09" w:rsidR="00A3495F" w:rsidRDefault="00362752" w:rsidP="00D15FA6">
      <w:pPr>
        <w:snapToGrid w:val="0"/>
        <w:ind w:firstLine="426"/>
        <w:jc w:val="both"/>
        <w:rPr>
          <w:rFonts w:eastAsia="標楷體"/>
          <w:sz w:val="20"/>
          <w:szCs w:val="20"/>
        </w:rPr>
      </w:pPr>
      <w:r w:rsidRPr="00362752">
        <w:rPr>
          <w:rFonts w:eastAsia="標楷體" w:hint="eastAsia"/>
          <w:sz w:val="20"/>
          <w:szCs w:val="20"/>
        </w:rPr>
        <w:t>由於影像可能存在反光問題，會影響「眼瞼影像與血紅素關係式」的準確性，所以必須去除，我們使用</w:t>
      </w:r>
      <w:r w:rsidRPr="00362752">
        <w:rPr>
          <w:rFonts w:eastAsia="標楷體" w:hint="eastAsia"/>
          <w:sz w:val="20"/>
          <w:szCs w:val="20"/>
        </w:rPr>
        <w:t>HSV</w:t>
      </w:r>
      <w:r w:rsidRPr="00362752">
        <w:rPr>
          <w:rFonts w:eastAsia="標楷體" w:hint="eastAsia"/>
          <w:sz w:val="20"/>
          <w:szCs w:val="20"/>
        </w:rPr>
        <w:t>色彩空間來篩選飽和度（</w:t>
      </w:r>
      <w:r w:rsidRPr="00362752">
        <w:rPr>
          <w:rFonts w:eastAsia="標楷體" w:hint="eastAsia"/>
          <w:sz w:val="20"/>
          <w:szCs w:val="20"/>
        </w:rPr>
        <w:t>S</w:t>
      </w:r>
      <w:r w:rsidRPr="00362752">
        <w:rPr>
          <w:rFonts w:eastAsia="標楷體" w:hint="eastAsia"/>
          <w:sz w:val="20"/>
          <w:szCs w:val="20"/>
        </w:rPr>
        <w:t>，當飽和度過低時，色彩偏灰）和明度（</w:t>
      </w:r>
      <w:r w:rsidRPr="00362752">
        <w:rPr>
          <w:rFonts w:eastAsia="標楷體" w:hint="eastAsia"/>
          <w:sz w:val="20"/>
          <w:szCs w:val="20"/>
        </w:rPr>
        <w:t>V</w:t>
      </w:r>
      <w:r w:rsidRPr="00362752">
        <w:rPr>
          <w:rFonts w:eastAsia="標楷體" w:hint="eastAsia"/>
          <w:sz w:val="20"/>
          <w:szCs w:val="20"/>
        </w:rPr>
        <w:t>，當明度過高時，色彩偏亮），所以當飽和度偏低且明度邊高時，在影像上的表現是白色反光的，所以將飽和度過低且明度偏高的像素點去除，不列入黃疸貧血判斷，從而提高預測的準確性</w:t>
      </w:r>
      <w:r w:rsidRPr="00362752">
        <w:rPr>
          <w:rFonts w:eastAsia="標楷體" w:hint="eastAsia"/>
          <w:sz w:val="20"/>
          <w:szCs w:val="20"/>
        </w:rPr>
        <w:t>(</w:t>
      </w:r>
      <w:r w:rsidRPr="00362752">
        <w:rPr>
          <w:rFonts w:eastAsia="標楷體" w:hint="eastAsia"/>
          <w:sz w:val="20"/>
          <w:szCs w:val="20"/>
        </w:rPr>
        <w:t>約可以提高</w:t>
      </w:r>
      <w:r w:rsidRPr="00362752">
        <w:rPr>
          <w:rFonts w:eastAsia="標楷體" w:hint="eastAsia"/>
          <w:sz w:val="20"/>
          <w:szCs w:val="20"/>
        </w:rPr>
        <w:t>5~10%</w:t>
      </w:r>
      <w:r w:rsidRPr="00362752">
        <w:rPr>
          <w:rFonts w:eastAsia="標楷體" w:hint="eastAsia"/>
          <w:sz w:val="20"/>
          <w:szCs w:val="20"/>
        </w:rPr>
        <w:t>的準確率</w:t>
      </w:r>
      <w:r w:rsidRPr="00362752">
        <w:rPr>
          <w:rFonts w:eastAsia="標楷體" w:hint="eastAsia"/>
          <w:sz w:val="20"/>
          <w:szCs w:val="20"/>
        </w:rPr>
        <w:t>)</w:t>
      </w:r>
      <w:r w:rsidRPr="00362752">
        <w:rPr>
          <w:rFonts w:eastAsia="標楷體" w:hint="eastAsia"/>
          <w:sz w:val="20"/>
          <w:szCs w:val="20"/>
        </w:rPr>
        <w:t>。</w:t>
      </w:r>
      <w:r w:rsidR="00D15FA6" w:rsidRPr="00D15FA6">
        <w:rPr>
          <w:rFonts w:eastAsia="標楷體" w:hint="eastAsia"/>
          <w:sz w:val="20"/>
          <w:szCs w:val="20"/>
        </w:rPr>
        <w:t>去除影像反光像素點的</w:t>
      </w:r>
      <w:proofErr w:type="spellStart"/>
      <w:r w:rsidR="00D15FA6" w:rsidRPr="00D15FA6">
        <w:rPr>
          <w:rFonts w:eastAsia="標楷體"/>
          <w:sz w:val="20"/>
          <w:szCs w:val="20"/>
        </w:rPr>
        <w:t>C_RmGB</w:t>
      </w:r>
      <w:proofErr w:type="spellEnd"/>
      <w:r w:rsidR="00D15FA6" w:rsidRPr="00D15FA6">
        <w:rPr>
          <w:rFonts w:eastAsia="標楷體" w:hint="eastAsia"/>
          <w:sz w:val="20"/>
          <w:szCs w:val="20"/>
        </w:rPr>
        <w:t>，並取其中位數</w:t>
      </w:r>
      <w:r w:rsidR="00D15FA6" w:rsidRPr="00D15FA6">
        <w:rPr>
          <w:rFonts w:ascii="Cambria Math" w:eastAsia="Cambria Math" w:hAnsi="Cambria Math" w:cs="Cambria Math" w:hint="eastAsia"/>
          <w:sz w:val="20"/>
          <w:szCs w:val="20"/>
        </w:rPr>
        <w:t>〖</w:t>
      </w:r>
      <w:r w:rsidR="00D15FA6" w:rsidRPr="00D15FA6">
        <w:rPr>
          <w:rFonts w:eastAsia="標楷體"/>
          <w:sz w:val="20"/>
          <w:szCs w:val="20"/>
        </w:rPr>
        <w:t>Md</w:t>
      </w:r>
      <w:r w:rsidR="00D15FA6" w:rsidRPr="00D15FA6">
        <w:rPr>
          <w:rFonts w:ascii="Cambria Math" w:eastAsia="Cambria Math" w:hAnsi="Cambria Math" w:cs="Cambria Math" w:hint="eastAsia"/>
          <w:sz w:val="20"/>
          <w:szCs w:val="20"/>
        </w:rPr>
        <w:t>〗</w:t>
      </w:r>
      <w:r w:rsidR="00D15FA6" w:rsidRPr="00D15FA6">
        <w:rPr>
          <w:rFonts w:eastAsia="標楷體"/>
          <w:sz w:val="20"/>
          <w:szCs w:val="20"/>
        </w:rPr>
        <w:t>_</w:t>
      </w:r>
      <w:proofErr w:type="spellStart"/>
      <w:r w:rsidR="00D15FA6" w:rsidRPr="00D15FA6">
        <w:rPr>
          <w:rFonts w:eastAsia="標楷體"/>
          <w:sz w:val="20"/>
          <w:szCs w:val="20"/>
        </w:rPr>
        <w:t>RmGB</w:t>
      </w:r>
      <w:proofErr w:type="spellEnd"/>
      <w:r w:rsidR="00D15FA6" w:rsidRPr="00D15FA6">
        <w:rPr>
          <w:rFonts w:eastAsia="標楷體" w:hint="eastAsia"/>
          <w:sz w:val="20"/>
          <w:szCs w:val="20"/>
        </w:rPr>
        <w:t>，並將各組影像與其</w:t>
      </w:r>
      <w:r w:rsidR="00D15FA6" w:rsidRPr="00D15FA6">
        <w:rPr>
          <w:rFonts w:ascii="Cambria Math" w:eastAsia="Cambria Math" w:hAnsi="Cambria Math" w:cs="Cambria Math" w:hint="eastAsia"/>
          <w:sz w:val="20"/>
          <w:szCs w:val="20"/>
        </w:rPr>
        <w:t>〖</w:t>
      </w:r>
      <w:r w:rsidR="00D15FA6" w:rsidRPr="00D15FA6">
        <w:rPr>
          <w:rFonts w:eastAsia="標楷體"/>
          <w:sz w:val="20"/>
          <w:szCs w:val="20"/>
        </w:rPr>
        <w:t>Md</w:t>
      </w:r>
      <w:r w:rsidR="00D15FA6" w:rsidRPr="00D15FA6">
        <w:rPr>
          <w:rFonts w:ascii="Cambria Math" w:eastAsia="Cambria Math" w:hAnsi="Cambria Math" w:cs="Cambria Math" w:hint="eastAsia"/>
          <w:sz w:val="20"/>
          <w:szCs w:val="20"/>
        </w:rPr>
        <w:t>〗</w:t>
      </w:r>
      <w:r w:rsidR="00D15FA6" w:rsidRPr="00D15FA6">
        <w:rPr>
          <w:rFonts w:eastAsia="標楷體"/>
          <w:sz w:val="20"/>
          <w:szCs w:val="20"/>
        </w:rPr>
        <w:t>_</w:t>
      </w:r>
      <w:proofErr w:type="spellStart"/>
      <w:r w:rsidR="00D15FA6" w:rsidRPr="00D15FA6">
        <w:rPr>
          <w:rFonts w:eastAsia="標楷體"/>
          <w:sz w:val="20"/>
          <w:szCs w:val="20"/>
        </w:rPr>
        <w:t>RmGB</w:t>
      </w:r>
      <w:proofErr w:type="spellEnd"/>
      <w:r w:rsidR="00D15FA6" w:rsidRPr="00D15FA6">
        <w:rPr>
          <w:rFonts w:eastAsia="標楷體" w:hint="eastAsia"/>
          <w:sz w:val="20"/>
          <w:szCs w:val="20"/>
        </w:rPr>
        <w:t>做多項式回歸，冪次為三，將此多項式做為「眼瞼影像與血紅素關係式」，將驗證集透過套入關係式中，得到相對應的血紅素值，低於我們設定的閥值</w:t>
      </w:r>
      <w:r w:rsidR="00D15FA6" w:rsidRPr="00D15FA6">
        <w:rPr>
          <w:rFonts w:eastAsia="標楷體"/>
          <w:sz w:val="20"/>
          <w:szCs w:val="20"/>
        </w:rPr>
        <w:t>(12gm/dL)</w:t>
      </w:r>
      <w:r w:rsidR="00D15FA6" w:rsidRPr="00D15FA6">
        <w:rPr>
          <w:rFonts w:eastAsia="標楷體" w:hint="eastAsia"/>
          <w:sz w:val="20"/>
          <w:szCs w:val="20"/>
        </w:rPr>
        <w:t>則判斷為貧血，與透過侵入式檢驗判斷的貧血做比較，正確率為七成以上。</w:t>
      </w:r>
    </w:p>
    <w:p w14:paraId="1E937A7F" w14:textId="77777777" w:rsidR="0095366A" w:rsidRDefault="00C331A3" w:rsidP="0000062F">
      <w:pPr>
        <w:numPr>
          <w:ilvl w:val="1"/>
          <w:numId w:val="6"/>
        </w:numPr>
        <w:snapToGrid w:val="0"/>
        <w:spacing w:beforeLines="50" w:before="120" w:afterLines="50" w:after="120"/>
        <w:ind w:left="431" w:hanging="431"/>
        <w:rPr>
          <w:rFonts w:eastAsia="標楷體"/>
          <w:b/>
        </w:rPr>
      </w:pPr>
      <w:r w:rsidRPr="00C331A3">
        <w:rPr>
          <w:rFonts w:eastAsia="標楷體" w:hint="eastAsia"/>
          <w:b/>
        </w:rPr>
        <w:t>在手機</w:t>
      </w:r>
      <w:r w:rsidRPr="00C331A3">
        <w:rPr>
          <w:rFonts w:eastAsia="標楷體" w:hint="eastAsia"/>
          <w:b/>
        </w:rPr>
        <w:t>App</w:t>
      </w:r>
      <w:r w:rsidRPr="00C331A3">
        <w:rPr>
          <w:rFonts w:eastAsia="標楷體" w:hint="eastAsia"/>
          <w:b/>
        </w:rPr>
        <w:t>運行</w:t>
      </w:r>
      <w:r w:rsidRPr="00C331A3">
        <w:rPr>
          <w:rFonts w:eastAsia="標楷體" w:hint="eastAsia"/>
          <w:b/>
        </w:rPr>
        <w:t>AI</w:t>
      </w:r>
      <w:r w:rsidRPr="00C331A3">
        <w:rPr>
          <w:rFonts w:eastAsia="標楷體" w:hint="eastAsia"/>
          <w:b/>
        </w:rPr>
        <w:t>模型</w:t>
      </w:r>
      <w:r w:rsidR="00611EDE" w:rsidRPr="00611EDE">
        <w:rPr>
          <w:rFonts w:eastAsia="標楷體"/>
          <w:b/>
        </w:rPr>
        <w:t>API</w:t>
      </w:r>
    </w:p>
    <w:p w14:paraId="0A3A4D5B" w14:textId="3501BBEE" w:rsidR="00644E01" w:rsidRPr="0095366A" w:rsidRDefault="00644E01" w:rsidP="0095366A">
      <w:pPr>
        <w:snapToGrid w:val="0"/>
        <w:spacing w:beforeLines="50" w:before="120" w:afterLines="50" w:after="120"/>
        <w:ind w:left="431"/>
        <w:rPr>
          <w:rFonts w:eastAsia="標楷體"/>
          <w:b/>
        </w:rPr>
      </w:pPr>
      <w:r w:rsidRPr="0095366A">
        <w:rPr>
          <w:rFonts w:eastAsia="標楷體" w:hint="eastAsia"/>
          <w:sz w:val="20"/>
          <w:szCs w:val="20"/>
        </w:rPr>
        <w:t>要將白平衡模型和</w:t>
      </w:r>
      <w:proofErr w:type="spellStart"/>
      <w:r w:rsidRPr="0095366A">
        <w:rPr>
          <w:rFonts w:eastAsia="標楷體" w:hint="eastAsia"/>
          <w:sz w:val="20"/>
          <w:szCs w:val="20"/>
        </w:rPr>
        <w:t>Unet</w:t>
      </w:r>
      <w:proofErr w:type="spellEnd"/>
      <w:r w:rsidRPr="0095366A">
        <w:rPr>
          <w:rFonts w:eastAsia="標楷體" w:hint="eastAsia"/>
          <w:sz w:val="20"/>
          <w:szCs w:val="20"/>
        </w:rPr>
        <w:t>模型在手機</w:t>
      </w:r>
      <w:r w:rsidRPr="0095366A">
        <w:rPr>
          <w:rFonts w:eastAsia="標楷體" w:hint="eastAsia"/>
          <w:sz w:val="20"/>
          <w:szCs w:val="20"/>
        </w:rPr>
        <w:t>App</w:t>
      </w:r>
      <w:r w:rsidRPr="0095366A">
        <w:rPr>
          <w:rFonts w:eastAsia="標楷體" w:hint="eastAsia"/>
          <w:sz w:val="20"/>
          <w:szCs w:val="20"/>
        </w:rPr>
        <w:t>上運行，我們透過</w:t>
      </w:r>
      <w:r w:rsidRPr="0095366A">
        <w:rPr>
          <w:rFonts w:eastAsia="標楷體" w:hint="eastAsia"/>
          <w:sz w:val="20"/>
          <w:szCs w:val="20"/>
        </w:rPr>
        <w:t>Python Flask</w:t>
      </w:r>
      <w:r w:rsidRPr="0095366A">
        <w:rPr>
          <w:rFonts w:eastAsia="標楷體" w:hint="eastAsia"/>
          <w:sz w:val="20"/>
          <w:szCs w:val="20"/>
        </w:rPr>
        <w:t>在</w:t>
      </w:r>
      <w:r w:rsidRPr="0095366A">
        <w:rPr>
          <w:rFonts w:eastAsia="標楷體" w:hint="eastAsia"/>
          <w:sz w:val="20"/>
          <w:szCs w:val="20"/>
        </w:rPr>
        <w:t>AWS(Amazon Web Services)</w:t>
      </w:r>
      <w:r w:rsidRPr="0095366A">
        <w:rPr>
          <w:rFonts w:eastAsia="標楷體" w:hint="eastAsia"/>
          <w:sz w:val="20"/>
          <w:szCs w:val="20"/>
        </w:rPr>
        <w:t>上架設輕量級的後端</w:t>
      </w:r>
      <w:r w:rsidRPr="0095366A">
        <w:rPr>
          <w:rFonts w:eastAsia="標楷體" w:hint="eastAsia"/>
          <w:sz w:val="20"/>
          <w:szCs w:val="20"/>
        </w:rPr>
        <w:t>web API</w:t>
      </w:r>
      <w:r w:rsidRPr="0095366A">
        <w:rPr>
          <w:rFonts w:eastAsia="標楷體" w:hint="eastAsia"/>
          <w:sz w:val="20"/>
          <w:szCs w:val="20"/>
        </w:rPr>
        <w:t>，再透過手機</w:t>
      </w:r>
      <w:r w:rsidRPr="0095366A">
        <w:rPr>
          <w:rFonts w:eastAsia="標楷體" w:hint="eastAsia"/>
          <w:sz w:val="20"/>
          <w:szCs w:val="20"/>
        </w:rPr>
        <w:t>App</w:t>
      </w:r>
      <w:r w:rsidRPr="0095366A">
        <w:rPr>
          <w:rFonts w:eastAsia="標楷體" w:hint="eastAsia"/>
          <w:sz w:val="20"/>
          <w:szCs w:val="20"/>
        </w:rPr>
        <w:t>串接</w:t>
      </w:r>
      <w:r w:rsidRPr="0095366A">
        <w:rPr>
          <w:rFonts w:eastAsia="標楷體" w:hint="eastAsia"/>
          <w:sz w:val="20"/>
          <w:szCs w:val="20"/>
        </w:rPr>
        <w:t>API</w:t>
      </w:r>
      <w:r w:rsidRPr="0095366A">
        <w:rPr>
          <w:rFonts w:eastAsia="標楷體" w:hint="eastAsia"/>
          <w:sz w:val="20"/>
          <w:szCs w:val="20"/>
        </w:rPr>
        <w:t>，來達成在手機運行</w:t>
      </w:r>
      <w:r w:rsidRPr="0095366A">
        <w:rPr>
          <w:rFonts w:eastAsia="標楷體" w:hint="eastAsia"/>
          <w:sz w:val="20"/>
          <w:szCs w:val="20"/>
        </w:rPr>
        <w:t>AI</w:t>
      </w:r>
      <w:r w:rsidRPr="0095366A">
        <w:rPr>
          <w:rFonts w:eastAsia="標楷體" w:hint="eastAsia"/>
          <w:sz w:val="20"/>
          <w:szCs w:val="20"/>
        </w:rPr>
        <w:t>模型的要求，具體方式如下：</w:t>
      </w:r>
    </w:p>
    <w:p w14:paraId="79B66449" w14:textId="1AEFE154" w:rsidR="00644E01" w:rsidRPr="00644E01" w:rsidRDefault="0095366A" w:rsidP="00644E01">
      <w:pPr>
        <w:snapToGrid w:val="0"/>
        <w:spacing w:beforeLines="50" w:before="120" w:afterLines="50" w:after="120"/>
        <w:ind w:left="431"/>
        <w:rPr>
          <w:rFonts w:eastAsia="標楷體"/>
          <w:sz w:val="20"/>
          <w:szCs w:val="20"/>
        </w:rPr>
      </w:pPr>
      <w:r>
        <w:rPr>
          <w:rFonts w:eastAsia="標楷體" w:hint="eastAsia"/>
          <w:sz w:val="20"/>
          <w:szCs w:val="20"/>
        </w:rPr>
        <w:t>3.5.1</w:t>
      </w:r>
      <w:r w:rsidR="00644E01" w:rsidRPr="00644E01">
        <w:rPr>
          <w:rFonts w:eastAsia="標楷體" w:hint="eastAsia"/>
          <w:sz w:val="20"/>
          <w:szCs w:val="20"/>
        </w:rPr>
        <w:t>API</w:t>
      </w:r>
      <w:r w:rsidR="00644E01" w:rsidRPr="00644E01">
        <w:rPr>
          <w:rFonts w:eastAsia="標楷體" w:hint="eastAsia"/>
          <w:sz w:val="20"/>
          <w:szCs w:val="20"/>
        </w:rPr>
        <w:t>建構：</w:t>
      </w:r>
    </w:p>
    <w:p w14:paraId="6532489E" w14:textId="77777777" w:rsidR="00644E01" w:rsidRPr="00644E01" w:rsidRDefault="00644E01" w:rsidP="00644E01">
      <w:pPr>
        <w:snapToGrid w:val="0"/>
        <w:spacing w:beforeLines="50" w:before="120" w:afterLines="50" w:after="120"/>
        <w:ind w:left="431"/>
        <w:rPr>
          <w:rFonts w:eastAsia="標楷體"/>
          <w:sz w:val="20"/>
          <w:szCs w:val="20"/>
        </w:rPr>
      </w:pPr>
      <w:r w:rsidRPr="00644E01">
        <w:rPr>
          <w:rFonts w:eastAsia="標楷體" w:hint="eastAsia"/>
          <w:sz w:val="20"/>
          <w:szCs w:val="20"/>
        </w:rPr>
        <w:t>HTTP POST</w:t>
      </w:r>
      <w:r w:rsidRPr="00644E01">
        <w:rPr>
          <w:rFonts w:eastAsia="標楷體" w:hint="eastAsia"/>
          <w:sz w:val="20"/>
          <w:szCs w:val="20"/>
        </w:rPr>
        <w:t>：透過</w:t>
      </w:r>
      <w:r w:rsidRPr="00644E01">
        <w:rPr>
          <w:rFonts w:eastAsia="標楷體" w:hint="eastAsia"/>
          <w:sz w:val="20"/>
          <w:szCs w:val="20"/>
        </w:rPr>
        <w:t>HTTP POST</w:t>
      </w:r>
      <w:r w:rsidRPr="00644E01">
        <w:rPr>
          <w:rFonts w:eastAsia="標楷體" w:hint="eastAsia"/>
          <w:sz w:val="20"/>
          <w:szCs w:val="20"/>
        </w:rPr>
        <w:t>上傳手機</w:t>
      </w:r>
      <w:r w:rsidRPr="00644E01">
        <w:rPr>
          <w:rFonts w:eastAsia="標楷體" w:hint="eastAsia"/>
          <w:sz w:val="20"/>
          <w:szCs w:val="20"/>
        </w:rPr>
        <w:t>APP</w:t>
      </w:r>
      <w:r w:rsidRPr="00644E01">
        <w:rPr>
          <w:rFonts w:eastAsia="標楷體" w:hint="eastAsia"/>
          <w:sz w:val="20"/>
          <w:szCs w:val="20"/>
        </w:rPr>
        <w:t>端的影像，經過</w:t>
      </w:r>
    </w:p>
    <w:p w14:paraId="5518B83A" w14:textId="77777777" w:rsidR="00644E01" w:rsidRPr="00644E01" w:rsidRDefault="00644E01" w:rsidP="00644E01">
      <w:pPr>
        <w:snapToGrid w:val="0"/>
        <w:spacing w:beforeLines="50" w:before="120" w:afterLines="50" w:after="120"/>
        <w:ind w:left="431"/>
        <w:rPr>
          <w:rFonts w:eastAsia="標楷體"/>
          <w:sz w:val="20"/>
          <w:szCs w:val="20"/>
        </w:rPr>
      </w:pPr>
      <w:r w:rsidRPr="00644E01">
        <w:rPr>
          <w:rFonts w:eastAsia="標楷體" w:hint="eastAsia"/>
          <w:sz w:val="20"/>
          <w:szCs w:val="20"/>
        </w:rPr>
        <w:t>白平衡、</w:t>
      </w:r>
      <w:proofErr w:type="spellStart"/>
      <w:r w:rsidRPr="00644E01">
        <w:rPr>
          <w:rFonts w:eastAsia="標楷體" w:hint="eastAsia"/>
          <w:sz w:val="20"/>
          <w:szCs w:val="20"/>
        </w:rPr>
        <w:t>Unet</w:t>
      </w:r>
      <w:proofErr w:type="spellEnd"/>
      <w:r w:rsidRPr="00644E01">
        <w:rPr>
          <w:rFonts w:eastAsia="標楷體" w:hint="eastAsia"/>
          <w:sz w:val="20"/>
          <w:szCs w:val="20"/>
        </w:rPr>
        <w:t>模型以及貧血預測演算法，將會得到相對應的血色素濃度。</w:t>
      </w:r>
    </w:p>
    <w:p w14:paraId="51E6B8DE" w14:textId="27BA937F" w:rsidR="0095366A" w:rsidRDefault="00644E01" w:rsidP="00644E01">
      <w:pPr>
        <w:snapToGrid w:val="0"/>
        <w:spacing w:beforeLines="50" w:before="120" w:afterLines="50" w:after="120"/>
        <w:ind w:left="431"/>
        <w:rPr>
          <w:rFonts w:eastAsia="標楷體"/>
          <w:sz w:val="20"/>
          <w:szCs w:val="20"/>
        </w:rPr>
      </w:pPr>
      <w:r w:rsidRPr="00644E01">
        <w:rPr>
          <w:rFonts w:eastAsia="標楷體" w:hint="eastAsia"/>
          <w:sz w:val="20"/>
          <w:szCs w:val="20"/>
        </w:rPr>
        <w:t>HTTP GET</w:t>
      </w:r>
      <w:r w:rsidRPr="00644E01">
        <w:rPr>
          <w:rFonts w:eastAsia="標楷體" w:hint="eastAsia"/>
          <w:sz w:val="20"/>
          <w:szCs w:val="20"/>
        </w:rPr>
        <w:t>：</w:t>
      </w:r>
      <w:r w:rsidRPr="00644E01">
        <w:rPr>
          <w:rFonts w:eastAsia="標楷體" w:hint="eastAsia"/>
          <w:sz w:val="20"/>
          <w:szCs w:val="20"/>
        </w:rPr>
        <w:t>return</w:t>
      </w:r>
      <w:r w:rsidRPr="00644E01">
        <w:rPr>
          <w:rFonts w:eastAsia="標楷體" w:hint="eastAsia"/>
          <w:sz w:val="20"/>
          <w:szCs w:val="20"/>
        </w:rPr>
        <w:t>的數值即是相對應的血紅素值，回傳數值給手機後，最後由</w:t>
      </w:r>
      <w:r w:rsidRPr="00644E01">
        <w:rPr>
          <w:rFonts w:eastAsia="標楷體" w:hint="eastAsia"/>
          <w:sz w:val="20"/>
          <w:szCs w:val="20"/>
        </w:rPr>
        <w:t>App</w:t>
      </w:r>
      <w:r w:rsidRPr="00644E01">
        <w:rPr>
          <w:rFonts w:eastAsia="標楷體" w:hint="eastAsia"/>
          <w:sz w:val="20"/>
          <w:szCs w:val="20"/>
        </w:rPr>
        <w:t>判斷是否</w:t>
      </w:r>
      <w:proofErr w:type="gramStart"/>
      <w:r w:rsidRPr="00644E01">
        <w:rPr>
          <w:rFonts w:eastAsia="標楷體" w:hint="eastAsia"/>
          <w:sz w:val="20"/>
          <w:szCs w:val="20"/>
        </w:rPr>
        <w:t>低於閥值</w:t>
      </w:r>
      <w:proofErr w:type="gramEnd"/>
      <w:r w:rsidRPr="00644E01">
        <w:rPr>
          <w:rFonts w:eastAsia="標楷體" w:hint="eastAsia"/>
          <w:sz w:val="20"/>
          <w:szCs w:val="20"/>
        </w:rPr>
        <w:t>。以下是架構圖。</w:t>
      </w:r>
    </w:p>
    <w:p w14:paraId="14DC504A" w14:textId="6300EB97" w:rsidR="00B41831" w:rsidRDefault="00B41831" w:rsidP="00D402F4">
      <w:pPr>
        <w:snapToGrid w:val="0"/>
        <w:spacing w:beforeLines="50" w:before="120" w:afterLines="50" w:after="120"/>
        <w:ind w:left="431"/>
        <w:jc w:val="center"/>
        <w:rPr>
          <w:rFonts w:eastAsia="標楷體"/>
          <w:sz w:val="20"/>
          <w:szCs w:val="20"/>
        </w:rPr>
      </w:pPr>
      <w:r>
        <w:rPr>
          <w:rFonts w:eastAsia="標楷體" w:hint="eastAsia"/>
          <w:noProof/>
        </w:rPr>
        <w:drawing>
          <wp:inline distT="0" distB="0" distL="0" distR="0" wp14:anchorId="355AEF5A" wp14:editId="6B95A92A">
            <wp:extent cx="1895475" cy="3729294"/>
            <wp:effectExtent l="0" t="0" r="0" b="5080"/>
            <wp:docPr id="9" name="圖片 9" descr="一張含有 文字, 圖表, 圖畫, 寫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descr="一張含有 文字, 圖表, 圖畫, 寫生 的圖片&#10;&#10;自動產生的描述"/>
                    <pic:cNvPicPr/>
                  </pic:nvPicPr>
                  <pic:blipFill>
                    <a:blip r:embed="rId13">
                      <a:extLst>
                        <a:ext uri="{28A0092B-C50C-407E-A947-70E740481C1C}">
                          <a14:useLocalDpi xmlns:a14="http://schemas.microsoft.com/office/drawing/2010/main" val="0"/>
                        </a:ext>
                      </a:extLst>
                    </a:blip>
                    <a:stretch>
                      <a:fillRect/>
                    </a:stretch>
                  </pic:blipFill>
                  <pic:spPr>
                    <a:xfrm>
                      <a:off x="0" y="0"/>
                      <a:ext cx="1916586" cy="3770829"/>
                    </a:xfrm>
                    <a:prstGeom prst="rect">
                      <a:avLst/>
                    </a:prstGeom>
                  </pic:spPr>
                </pic:pic>
              </a:graphicData>
            </a:graphic>
          </wp:inline>
        </w:drawing>
      </w:r>
    </w:p>
    <w:p w14:paraId="4C8523C3" w14:textId="77777777" w:rsidR="0095366A" w:rsidRDefault="0095366A" w:rsidP="00644E01">
      <w:pPr>
        <w:snapToGrid w:val="0"/>
        <w:spacing w:beforeLines="50" w:before="120" w:afterLines="50" w:after="120"/>
        <w:ind w:left="431"/>
        <w:rPr>
          <w:rFonts w:eastAsia="標楷體"/>
          <w:sz w:val="20"/>
          <w:szCs w:val="20"/>
        </w:rPr>
      </w:pPr>
    </w:p>
    <w:p w14:paraId="75F2FD69" w14:textId="72F79B67" w:rsidR="00017117" w:rsidRDefault="00D402F4" w:rsidP="00017117">
      <w:pPr>
        <w:snapToGrid w:val="0"/>
        <w:spacing w:beforeLines="50" w:before="120" w:afterLines="50" w:after="120"/>
        <w:ind w:left="431"/>
        <w:rPr>
          <w:rFonts w:eastAsia="標楷體"/>
          <w:sz w:val="20"/>
          <w:szCs w:val="20"/>
        </w:rPr>
      </w:pPr>
      <w:r>
        <w:rPr>
          <w:rFonts w:eastAsia="標楷體" w:hint="eastAsia"/>
          <w:sz w:val="20"/>
          <w:szCs w:val="20"/>
        </w:rPr>
        <w:t>3.5.2</w:t>
      </w:r>
      <w:r w:rsidR="00291938" w:rsidRPr="00291938">
        <w:rPr>
          <w:rFonts w:hint="eastAsia"/>
        </w:rPr>
        <w:t xml:space="preserve"> </w:t>
      </w:r>
      <w:r w:rsidR="00291938" w:rsidRPr="00291938">
        <w:rPr>
          <w:rFonts w:eastAsia="標楷體" w:hint="eastAsia"/>
          <w:sz w:val="20"/>
          <w:szCs w:val="20"/>
        </w:rPr>
        <w:t>API</w:t>
      </w:r>
      <w:r w:rsidR="00291938" w:rsidRPr="00291938">
        <w:rPr>
          <w:rFonts w:eastAsia="標楷體" w:hint="eastAsia"/>
          <w:sz w:val="20"/>
          <w:szCs w:val="20"/>
        </w:rPr>
        <w:t>上線：</w:t>
      </w:r>
    </w:p>
    <w:p w14:paraId="7D6C56AE" w14:textId="12A59933" w:rsidR="00017117" w:rsidRPr="00017117" w:rsidRDefault="00017117" w:rsidP="00017117">
      <w:pPr>
        <w:snapToGrid w:val="0"/>
        <w:spacing w:beforeLines="50" w:before="120" w:afterLines="50" w:after="120"/>
        <w:ind w:left="431"/>
        <w:rPr>
          <w:rFonts w:eastAsia="標楷體"/>
          <w:sz w:val="20"/>
          <w:szCs w:val="20"/>
        </w:rPr>
      </w:pPr>
      <w:r w:rsidRPr="00017117">
        <w:rPr>
          <w:rFonts w:eastAsia="標楷體" w:hint="eastAsia"/>
          <w:sz w:val="20"/>
          <w:szCs w:val="20"/>
        </w:rPr>
        <w:t>使用</w:t>
      </w:r>
      <w:r w:rsidRPr="00017117">
        <w:rPr>
          <w:rFonts w:eastAsia="標楷體" w:hint="eastAsia"/>
          <w:sz w:val="20"/>
          <w:szCs w:val="20"/>
        </w:rPr>
        <w:t>AWS(Amazon Web Services)</w:t>
      </w:r>
      <w:r w:rsidRPr="00017117">
        <w:rPr>
          <w:rFonts w:eastAsia="標楷體" w:hint="eastAsia"/>
          <w:sz w:val="20"/>
          <w:szCs w:val="20"/>
        </w:rPr>
        <w:t>中</w:t>
      </w:r>
      <w:r w:rsidRPr="00017117">
        <w:rPr>
          <w:rFonts w:eastAsia="標楷體" w:hint="eastAsia"/>
          <w:sz w:val="20"/>
          <w:szCs w:val="20"/>
        </w:rPr>
        <w:t>EC2(</w:t>
      </w:r>
      <w:r w:rsidRPr="00017117">
        <w:rPr>
          <w:rFonts w:eastAsia="標楷體" w:hint="eastAsia"/>
          <w:sz w:val="20"/>
          <w:szCs w:val="20"/>
        </w:rPr>
        <w:t>雲端虛擬機</w:t>
      </w:r>
      <w:r w:rsidRPr="00017117">
        <w:rPr>
          <w:rFonts w:eastAsia="標楷體" w:hint="eastAsia"/>
          <w:sz w:val="20"/>
          <w:szCs w:val="20"/>
        </w:rPr>
        <w:t>)</w:t>
      </w:r>
      <w:r w:rsidRPr="00017117">
        <w:rPr>
          <w:rFonts w:eastAsia="標楷體" w:hint="eastAsia"/>
          <w:sz w:val="20"/>
          <w:szCs w:val="20"/>
        </w:rPr>
        <w:t>建立執行個體，需要建立記憶體大一點的執行個體</w:t>
      </w:r>
      <w:r w:rsidRPr="00017117">
        <w:rPr>
          <w:rFonts w:eastAsia="標楷體" w:hint="eastAsia"/>
          <w:sz w:val="20"/>
          <w:szCs w:val="20"/>
        </w:rPr>
        <w:t>(</w:t>
      </w:r>
      <w:r w:rsidRPr="00017117">
        <w:rPr>
          <w:rFonts w:eastAsia="標楷體" w:hint="eastAsia"/>
          <w:sz w:val="20"/>
          <w:szCs w:val="20"/>
        </w:rPr>
        <w:t>太小導致很多</w:t>
      </w:r>
      <w:r w:rsidRPr="00017117">
        <w:rPr>
          <w:rFonts w:eastAsia="標楷體" w:hint="eastAsia"/>
          <w:sz w:val="20"/>
          <w:szCs w:val="20"/>
        </w:rPr>
        <w:t>Python</w:t>
      </w:r>
      <w:r w:rsidRPr="00017117">
        <w:rPr>
          <w:rFonts w:eastAsia="標楷體" w:hint="eastAsia"/>
          <w:sz w:val="20"/>
          <w:szCs w:val="20"/>
        </w:rPr>
        <w:t>套件無法安裝而無法運行</w:t>
      </w:r>
      <w:r w:rsidRPr="00017117">
        <w:rPr>
          <w:rFonts w:eastAsia="標楷體" w:hint="eastAsia"/>
          <w:sz w:val="20"/>
          <w:szCs w:val="20"/>
        </w:rPr>
        <w:t>AI</w:t>
      </w:r>
      <w:r w:rsidRPr="00017117">
        <w:rPr>
          <w:rFonts w:eastAsia="標楷體" w:hint="eastAsia"/>
          <w:sz w:val="20"/>
          <w:szCs w:val="20"/>
        </w:rPr>
        <w:t>模型</w:t>
      </w:r>
      <w:r w:rsidRPr="00017117">
        <w:rPr>
          <w:rFonts w:eastAsia="標楷體" w:hint="eastAsia"/>
          <w:sz w:val="20"/>
          <w:szCs w:val="20"/>
        </w:rPr>
        <w:t>)</w:t>
      </w:r>
      <w:r w:rsidRPr="00017117">
        <w:rPr>
          <w:rFonts w:eastAsia="標楷體" w:hint="eastAsia"/>
          <w:sz w:val="20"/>
          <w:szCs w:val="20"/>
        </w:rPr>
        <w:t>，本專題使用</w:t>
      </w:r>
      <w:r w:rsidRPr="00017117">
        <w:rPr>
          <w:rFonts w:eastAsia="標楷體" w:hint="eastAsia"/>
          <w:sz w:val="20"/>
          <w:szCs w:val="20"/>
        </w:rPr>
        <w:lastRenderedPageBreak/>
        <w:t>t3.large</w:t>
      </w:r>
      <w:r w:rsidRPr="00017117">
        <w:rPr>
          <w:rFonts w:eastAsia="標楷體" w:hint="eastAsia"/>
          <w:sz w:val="20"/>
          <w:szCs w:val="20"/>
        </w:rPr>
        <w:t>類型。且建立時要設定</w:t>
      </w:r>
      <w:proofErr w:type="gramStart"/>
      <w:r w:rsidRPr="00017117">
        <w:rPr>
          <w:rFonts w:eastAsia="標楷體" w:hint="eastAsia"/>
          <w:sz w:val="20"/>
          <w:szCs w:val="20"/>
        </w:rPr>
        <w:t>安全群</w:t>
      </w:r>
      <w:proofErr w:type="gramEnd"/>
      <w:r w:rsidRPr="00017117">
        <w:rPr>
          <w:rFonts w:eastAsia="標楷體" w:hint="eastAsia"/>
          <w:sz w:val="20"/>
          <w:szCs w:val="20"/>
        </w:rPr>
        <w:t>組，使手機</w:t>
      </w:r>
      <w:r w:rsidRPr="00017117">
        <w:rPr>
          <w:rFonts w:eastAsia="標楷體" w:hint="eastAsia"/>
          <w:sz w:val="20"/>
          <w:szCs w:val="20"/>
        </w:rPr>
        <w:t>API</w:t>
      </w:r>
      <w:r w:rsidRPr="00017117">
        <w:rPr>
          <w:rFonts w:eastAsia="標楷體" w:hint="eastAsia"/>
          <w:sz w:val="20"/>
          <w:szCs w:val="20"/>
        </w:rPr>
        <w:t>可以連線，否則手機</w:t>
      </w:r>
      <w:r w:rsidRPr="00017117">
        <w:rPr>
          <w:rFonts w:eastAsia="標楷體" w:hint="eastAsia"/>
          <w:sz w:val="20"/>
          <w:szCs w:val="20"/>
        </w:rPr>
        <w:t>API</w:t>
      </w:r>
      <w:r w:rsidRPr="00017117">
        <w:rPr>
          <w:rFonts w:eastAsia="標楷體" w:hint="eastAsia"/>
          <w:sz w:val="20"/>
          <w:szCs w:val="20"/>
        </w:rPr>
        <w:t>無法成功執行。最後開啟執行個體，上傳模型以及執行前面</w:t>
      </w:r>
      <w:r w:rsidRPr="00017117">
        <w:rPr>
          <w:rFonts w:eastAsia="標楷體" w:hint="eastAsia"/>
          <w:sz w:val="20"/>
          <w:szCs w:val="20"/>
        </w:rPr>
        <w:t>a</w:t>
      </w:r>
      <w:r w:rsidRPr="00017117">
        <w:rPr>
          <w:rFonts w:eastAsia="標楷體" w:hint="eastAsia"/>
          <w:sz w:val="20"/>
          <w:szCs w:val="20"/>
        </w:rPr>
        <w:t>部分完成的</w:t>
      </w:r>
      <w:r w:rsidRPr="00017117">
        <w:rPr>
          <w:rFonts w:eastAsia="標楷體" w:hint="eastAsia"/>
          <w:sz w:val="20"/>
          <w:szCs w:val="20"/>
        </w:rPr>
        <w:t>API</w:t>
      </w:r>
      <w:r w:rsidRPr="00017117">
        <w:rPr>
          <w:rFonts w:eastAsia="標楷體" w:hint="eastAsia"/>
          <w:sz w:val="20"/>
          <w:szCs w:val="20"/>
        </w:rPr>
        <w:t>程式碼即完成</w:t>
      </w:r>
      <w:r w:rsidRPr="00017117">
        <w:rPr>
          <w:rFonts w:eastAsia="標楷體" w:hint="eastAsia"/>
          <w:sz w:val="20"/>
          <w:szCs w:val="20"/>
        </w:rPr>
        <w:t>API</w:t>
      </w:r>
      <w:r w:rsidRPr="00017117">
        <w:rPr>
          <w:rFonts w:eastAsia="標楷體" w:hint="eastAsia"/>
          <w:sz w:val="20"/>
          <w:szCs w:val="20"/>
        </w:rPr>
        <w:t>架構與上線。</w:t>
      </w:r>
    </w:p>
    <w:p w14:paraId="34724A46" w14:textId="40464B32" w:rsidR="0095366A" w:rsidRDefault="00017117" w:rsidP="00017117">
      <w:pPr>
        <w:snapToGrid w:val="0"/>
        <w:spacing w:beforeLines="50" w:before="120" w:afterLines="50" w:after="120"/>
        <w:ind w:left="431"/>
        <w:rPr>
          <w:rFonts w:eastAsia="標楷體"/>
          <w:sz w:val="20"/>
          <w:szCs w:val="20"/>
        </w:rPr>
      </w:pPr>
      <w:r w:rsidRPr="00017117">
        <w:rPr>
          <w:rFonts w:eastAsia="標楷體" w:hint="eastAsia"/>
          <w:sz w:val="20"/>
          <w:szCs w:val="20"/>
        </w:rPr>
        <w:t>且透過</w:t>
      </w:r>
      <w:r w:rsidRPr="00017117">
        <w:rPr>
          <w:rFonts w:eastAsia="標楷體" w:hint="eastAsia"/>
          <w:sz w:val="20"/>
          <w:szCs w:val="20"/>
        </w:rPr>
        <w:t>Web API</w:t>
      </w:r>
      <w:r w:rsidRPr="00017117">
        <w:rPr>
          <w:rFonts w:eastAsia="標楷體" w:hint="eastAsia"/>
          <w:sz w:val="20"/>
          <w:szCs w:val="20"/>
        </w:rPr>
        <w:t>可將使用者的資料再訓練</w:t>
      </w:r>
      <w:proofErr w:type="spellStart"/>
      <w:r w:rsidRPr="00017117">
        <w:rPr>
          <w:rFonts w:eastAsia="標楷體" w:hint="eastAsia"/>
          <w:sz w:val="20"/>
          <w:szCs w:val="20"/>
        </w:rPr>
        <w:t>Unet</w:t>
      </w:r>
      <w:proofErr w:type="spellEnd"/>
      <w:r w:rsidRPr="00017117">
        <w:rPr>
          <w:rFonts w:eastAsia="標楷體" w:hint="eastAsia"/>
          <w:sz w:val="20"/>
          <w:szCs w:val="20"/>
        </w:rPr>
        <w:t>、白平衡模型以及修正預測黃疸貧血演算法，產生更準確的預測，也可及時提供最新版本的</w:t>
      </w:r>
      <w:r w:rsidRPr="00017117">
        <w:rPr>
          <w:rFonts w:eastAsia="標楷體" w:hint="eastAsia"/>
          <w:sz w:val="20"/>
          <w:szCs w:val="20"/>
        </w:rPr>
        <w:t>AI</w:t>
      </w:r>
      <w:r w:rsidRPr="00017117">
        <w:rPr>
          <w:rFonts w:eastAsia="標楷體" w:hint="eastAsia"/>
          <w:sz w:val="20"/>
          <w:szCs w:val="20"/>
        </w:rPr>
        <w:t>與演算法。</w:t>
      </w:r>
    </w:p>
    <w:p w14:paraId="298AA61A" w14:textId="77777777" w:rsidR="00B104B7" w:rsidRDefault="00B104B7" w:rsidP="00B104B7">
      <w:pPr>
        <w:numPr>
          <w:ilvl w:val="1"/>
          <w:numId w:val="6"/>
        </w:numPr>
        <w:snapToGrid w:val="0"/>
        <w:spacing w:beforeLines="50" w:before="120" w:afterLines="50" w:after="120"/>
        <w:ind w:left="431" w:hanging="431"/>
        <w:rPr>
          <w:rFonts w:eastAsia="標楷體"/>
          <w:b/>
        </w:rPr>
      </w:pPr>
      <w:r w:rsidRPr="00B104B7">
        <w:rPr>
          <w:rFonts w:eastAsia="標楷體"/>
          <w:b/>
        </w:rPr>
        <w:t>APP</w:t>
      </w:r>
    </w:p>
    <w:p w14:paraId="01E71F6B" w14:textId="4F2C4890" w:rsidR="00B104B7" w:rsidRDefault="00B104B7" w:rsidP="00F62553">
      <w:pPr>
        <w:snapToGrid w:val="0"/>
        <w:spacing w:beforeLines="50" w:before="120" w:afterLines="50" w:after="120"/>
        <w:ind w:left="431"/>
        <w:rPr>
          <w:rFonts w:eastAsia="標楷體"/>
          <w:sz w:val="20"/>
          <w:szCs w:val="20"/>
        </w:rPr>
      </w:pPr>
      <w:r w:rsidRPr="00F62553">
        <w:rPr>
          <w:rFonts w:eastAsia="標楷體" w:hint="eastAsia"/>
          <w:sz w:val="20"/>
          <w:szCs w:val="20"/>
        </w:rPr>
        <w:t>使用</w:t>
      </w:r>
      <w:proofErr w:type="spellStart"/>
      <w:r w:rsidRPr="00F62553">
        <w:rPr>
          <w:rFonts w:eastAsia="標楷體" w:hint="eastAsia"/>
          <w:sz w:val="20"/>
          <w:szCs w:val="20"/>
        </w:rPr>
        <w:t>Andriod</w:t>
      </w:r>
      <w:proofErr w:type="spellEnd"/>
      <w:r w:rsidRPr="00F62553">
        <w:rPr>
          <w:rFonts w:eastAsia="標楷體" w:hint="eastAsia"/>
          <w:sz w:val="20"/>
          <w:szCs w:val="20"/>
        </w:rPr>
        <w:t xml:space="preserve"> studio</w:t>
      </w:r>
      <w:r w:rsidRPr="00F62553">
        <w:rPr>
          <w:rFonts w:eastAsia="標楷體" w:hint="eastAsia"/>
          <w:sz w:val="20"/>
          <w:szCs w:val="20"/>
        </w:rPr>
        <w:t>透過</w:t>
      </w:r>
      <w:r w:rsidRPr="00F62553">
        <w:rPr>
          <w:rFonts w:eastAsia="標楷體" w:hint="eastAsia"/>
          <w:sz w:val="20"/>
          <w:szCs w:val="20"/>
        </w:rPr>
        <w:t>dart</w:t>
      </w:r>
      <w:r w:rsidRPr="00F62553">
        <w:rPr>
          <w:rFonts w:eastAsia="標楷體" w:hint="eastAsia"/>
          <w:sz w:val="20"/>
          <w:szCs w:val="20"/>
        </w:rPr>
        <w:t>語言開發手機</w:t>
      </w:r>
      <w:r w:rsidRPr="00F62553">
        <w:rPr>
          <w:rFonts w:eastAsia="標楷體" w:hint="eastAsia"/>
          <w:sz w:val="20"/>
          <w:szCs w:val="20"/>
        </w:rPr>
        <w:t>App</w:t>
      </w:r>
      <w:r w:rsidRPr="00F62553">
        <w:rPr>
          <w:rFonts w:eastAsia="標楷體" w:hint="eastAsia"/>
          <w:sz w:val="20"/>
          <w:szCs w:val="20"/>
        </w:rPr>
        <w:t>，主要功能有拍攝眼部照片、上傳拍攝照片</w:t>
      </w:r>
      <w:r w:rsidRPr="00F62553">
        <w:rPr>
          <w:rFonts w:eastAsia="標楷體" w:hint="eastAsia"/>
          <w:sz w:val="20"/>
          <w:szCs w:val="20"/>
        </w:rPr>
        <w:t>AWS(Amazon Web Services)</w:t>
      </w:r>
      <w:r w:rsidRPr="00F62553">
        <w:rPr>
          <w:rFonts w:eastAsia="標楷體" w:hint="eastAsia"/>
          <w:sz w:val="20"/>
          <w:szCs w:val="20"/>
        </w:rPr>
        <w:t>的</w:t>
      </w:r>
      <w:r w:rsidRPr="00F62553">
        <w:rPr>
          <w:rFonts w:eastAsia="標楷體" w:hint="eastAsia"/>
          <w:sz w:val="20"/>
          <w:szCs w:val="20"/>
        </w:rPr>
        <w:t xml:space="preserve">Web </w:t>
      </w:r>
      <w:proofErr w:type="spellStart"/>
      <w:r w:rsidRPr="00F62553">
        <w:rPr>
          <w:rFonts w:eastAsia="標楷體" w:hint="eastAsia"/>
          <w:sz w:val="20"/>
          <w:szCs w:val="20"/>
        </w:rPr>
        <w:t>api</w:t>
      </w:r>
      <w:proofErr w:type="spellEnd"/>
      <w:r w:rsidRPr="00F62553">
        <w:rPr>
          <w:rFonts w:eastAsia="標楷體" w:hint="eastAsia"/>
          <w:sz w:val="20"/>
          <w:szCs w:val="20"/>
        </w:rPr>
        <w:t>並回傳黃疸貧血預測值、紀錄黃疸貧血預測值。而連接</w:t>
      </w:r>
      <w:r w:rsidRPr="00F62553">
        <w:rPr>
          <w:rFonts w:eastAsia="標楷體" w:hint="eastAsia"/>
          <w:sz w:val="20"/>
          <w:szCs w:val="20"/>
        </w:rPr>
        <w:t>API</w:t>
      </w:r>
      <w:r w:rsidRPr="00F62553">
        <w:rPr>
          <w:rFonts w:eastAsia="標楷體" w:hint="eastAsia"/>
          <w:sz w:val="20"/>
          <w:szCs w:val="20"/>
        </w:rPr>
        <w:t>的方式為使用</w:t>
      </w:r>
      <w:r w:rsidRPr="00F62553">
        <w:rPr>
          <w:rFonts w:eastAsia="標楷體" w:hint="eastAsia"/>
          <w:sz w:val="20"/>
          <w:szCs w:val="20"/>
        </w:rPr>
        <w:t>Flutter</w:t>
      </w:r>
      <w:proofErr w:type="gramStart"/>
      <w:r w:rsidRPr="00F62553">
        <w:rPr>
          <w:rFonts w:eastAsia="標楷體" w:hint="eastAsia"/>
          <w:sz w:val="20"/>
          <w:szCs w:val="20"/>
        </w:rPr>
        <w:t>函式庫中的</w:t>
      </w:r>
      <w:proofErr w:type="gramEnd"/>
      <w:r w:rsidRPr="00F62553">
        <w:rPr>
          <w:rFonts w:eastAsia="標楷體" w:hint="eastAsia"/>
          <w:sz w:val="20"/>
          <w:szCs w:val="20"/>
        </w:rPr>
        <w:t>Dio</w:t>
      </w:r>
      <w:r w:rsidRPr="00F62553">
        <w:rPr>
          <w:rFonts w:eastAsia="標楷體" w:hint="eastAsia"/>
          <w:sz w:val="20"/>
          <w:szCs w:val="20"/>
        </w:rPr>
        <w:t>，為保障數據的安全性，使用</w:t>
      </w:r>
      <w:r w:rsidRPr="00F62553">
        <w:rPr>
          <w:rFonts w:eastAsia="標楷體" w:hint="eastAsia"/>
          <w:sz w:val="20"/>
          <w:szCs w:val="20"/>
        </w:rPr>
        <w:t>HTTPS</w:t>
      </w:r>
      <w:r w:rsidRPr="00F62553">
        <w:rPr>
          <w:rFonts w:eastAsia="標楷體" w:hint="eastAsia"/>
          <w:sz w:val="20"/>
          <w:szCs w:val="20"/>
        </w:rPr>
        <w:t>協議上傳手機拍攝影像到</w:t>
      </w:r>
      <w:r w:rsidRPr="00F62553">
        <w:rPr>
          <w:rFonts w:eastAsia="標楷體" w:hint="eastAsia"/>
          <w:sz w:val="20"/>
          <w:szCs w:val="20"/>
        </w:rPr>
        <w:t>AWS Web API</w:t>
      </w:r>
      <w:r w:rsidRPr="00F62553">
        <w:rPr>
          <w:rFonts w:eastAsia="標楷體" w:hint="eastAsia"/>
          <w:sz w:val="20"/>
          <w:szCs w:val="20"/>
        </w:rPr>
        <w:t>並使用</w:t>
      </w:r>
      <w:r w:rsidRPr="00F62553">
        <w:rPr>
          <w:rFonts w:eastAsia="標楷體" w:hint="eastAsia"/>
          <w:sz w:val="20"/>
          <w:szCs w:val="20"/>
        </w:rPr>
        <w:t>HTTP GET</w:t>
      </w:r>
      <w:r w:rsidRPr="00F62553">
        <w:rPr>
          <w:rFonts w:eastAsia="標楷體" w:hint="eastAsia"/>
          <w:sz w:val="20"/>
          <w:szCs w:val="20"/>
        </w:rPr>
        <w:t>回傳模型預測的血色素濃度，最後</w:t>
      </w:r>
      <w:proofErr w:type="gramStart"/>
      <w:r w:rsidRPr="00F62553">
        <w:rPr>
          <w:rFonts w:eastAsia="標楷體" w:hint="eastAsia"/>
          <w:sz w:val="20"/>
          <w:szCs w:val="20"/>
        </w:rPr>
        <w:t>經由閥值判斷</w:t>
      </w:r>
      <w:proofErr w:type="gramEnd"/>
      <w:r w:rsidRPr="00F62553">
        <w:rPr>
          <w:rFonts w:eastAsia="標楷體" w:hint="eastAsia"/>
          <w:sz w:val="20"/>
          <w:szCs w:val="20"/>
        </w:rPr>
        <w:t>是否貧血與黃疸之嚴重程度。</w:t>
      </w:r>
      <w:r w:rsidRPr="00F62553">
        <w:rPr>
          <w:rFonts w:eastAsia="標楷體" w:hint="eastAsia"/>
          <w:sz w:val="20"/>
          <w:szCs w:val="20"/>
        </w:rPr>
        <w:t>App</w:t>
      </w:r>
      <w:r w:rsidRPr="00F62553">
        <w:rPr>
          <w:rFonts w:eastAsia="標楷體" w:hint="eastAsia"/>
          <w:sz w:val="20"/>
          <w:szCs w:val="20"/>
        </w:rPr>
        <w:t>的操作流程如下：用戶可以通過</w:t>
      </w:r>
      <w:r w:rsidRPr="00F62553">
        <w:rPr>
          <w:rFonts w:eastAsia="標楷體" w:hint="eastAsia"/>
          <w:sz w:val="20"/>
          <w:szCs w:val="20"/>
        </w:rPr>
        <w:t>App</w:t>
      </w:r>
      <w:r w:rsidRPr="00F62553">
        <w:rPr>
          <w:rFonts w:eastAsia="標楷體" w:hint="eastAsia"/>
          <w:sz w:val="20"/>
          <w:szCs w:val="20"/>
        </w:rPr>
        <w:t>拍攝眼部照片。這些照片會被上傳到</w:t>
      </w:r>
      <w:r w:rsidRPr="00F62553">
        <w:rPr>
          <w:rFonts w:eastAsia="標楷體" w:hint="eastAsia"/>
          <w:sz w:val="20"/>
          <w:szCs w:val="20"/>
        </w:rPr>
        <w:t>AWS</w:t>
      </w:r>
      <w:r w:rsidRPr="00F62553">
        <w:rPr>
          <w:rFonts w:eastAsia="標楷體" w:hint="eastAsia"/>
          <w:sz w:val="20"/>
          <w:szCs w:val="20"/>
        </w:rPr>
        <w:t>的</w:t>
      </w:r>
      <w:r w:rsidRPr="00F62553">
        <w:rPr>
          <w:rFonts w:eastAsia="標楷體" w:hint="eastAsia"/>
          <w:sz w:val="20"/>
          <w:szCs w:val="20"/>
        </w:rPr>
        <w:t>Web API</w:t>
      </w:r>
      <w:r w:rsidRPr="00F62553">
        <w:rPr>
          <w:rFonts w:eastAsia="標楷體" w:hint="eastAsia"/>
          <w:sz w:val="20"/>
          <w:szCs w:val="20"/>
        </w:rPr>
        <w:t>，</w:t>
      </w:r>
      <w:r w:rsidRPr="00F62553">
        <w:rPr>
          <w:rFonts w:eastAsia="標楷體" w:hint="eastAsia"/>
          <w:sz w:val="20"/>
          <w:szCs w:val="20"/>
        </w:rPr>
        <w:t>API</w:t>
      </w:r>
      <w:r w:rsidRPr="00F62553">
        <w:rPr>
          <w:rFonts w:eastAsia="標楷體" w:hint="eastAsia"/>
          <w:sz w:val="20"/>
          <w:szCs w:val="20"/>
        </w:rPr>
        <w:t>會使用模型進行預測，並將預測結果以</w:t>
      </w:r>
      <w:r w:rsidRPr="00F62553">
        <w:rPr>
          <w:rFonts w:eastAsia="標楷體" w:hint="eastAsia"/>
          <w:sz w:val="20"/>
          <w:szCs w:val="20"/>
        </w:rPr>
        <w:t>HTTP GET</w:t>
      </w:r>
      <w:r w:rsidRPr="00F62553">
        <w:rPr>
          <w:rFonts w:eastAsia="標楷體" w:hint="eastAsia"/>
          <w:sz w:val="20"/>
          <w:szCs w:val="20"/>
        </w:rPr>
        <w:t>的方式返回給</w:t>
      </w:r>
      <w:r w:rsidRPr="00F62553">
        <w:rPr>
          <w:rFonts w:eastAsia="標楷體" w:hint="eastAsia"/>
          <w:sz w:val="20"/>
          <w:szCs w:val="20"/>
        </w:rPr>
        <w:t>App</w:t>
      </w:r>
      <w:r w:rsidRPr="00F62553">
        <w:rPr>
          <w:rFonts w:eastAsia="標楷體" w:hint="eastAsia"/>
          <w:sz w:val="20"/>
          <w:szCs w:val="20"/>
        </w:rPr>
        <w:t>。在</w:t>
      </w:r>
      <w:r w:rsidRPr="00F62553">
        <w:rPr>
          <w:rFonts w:eastAsia="標楷體" w:hint="eastAsia"/>
          <w:sz w:val="20"/>
          <w:szCs w:val="20"/>
        </w:rPr>
        <w:t>App</w:t>
      </w:r>
      <w:r w:rsidRPr="00F62553">
        <w:rPr>
          <w:rFonts w:eastAsia="標楷體" w:hint="eastAsia"/>
          <w:sz w:val="20"/>
          <w:szCs w:val="20"/>
        </w:rPr>
        <w:t>內，我們</w:t>
      </w:r>
      <w:proofErr w:type="gramStart"/>
      <w:r w:rsidRPr="00F62553">
        <w:rPr>
          <w:rFonts w:eastAsia="標楷體" w:hint="eastAsia"/>
          <w:sz w:val="20"/>
          <w:szCs w:val="20"/>
        </w:rPr>
        <w:t>使用閥值判斷</w:t>
      </w:r>
      <w:proofErr w:type="gramEnd"/>
      <w:r w:rsidRPr="00F62553">
        <w:rPr>
          <w:rFonts w:eastAsia="標楷體" w:hint="eastAsia"/>
          <w:sz w:val="20"/>
          <w:szCs w:val="20"/>
        </w:rPr>
        <w:t>這些預測值，以確定是否存在貧血或黃疸，並評估其嚴重程度。</w:t>
      </w:r>
    </w:p>
    <w:p w14:paraId="293FC95B" w14:textId="638E896A" w:rsidR="007F72F1" w:rsidRDefault="00B8399E" w:rsidP="00F62553">
      <w:pPr>
        <w:snapToGrid w:val="0"/>
        <w:spacing w:beforeLines="50" w:before="120" w:afterLines="50" w:after="120"/>
        <w:ind w:left="431"/>
        <w:rPr>
          <w:rFonts w:eastAsia="標楷體"/>
          <w:sz w:val="20"/>
          <w:szCs w:val="20"/>
        </w:rPr>
      </w:pPr>
      <w:r w:rsidRPr="00B8399E">
        <w:rPr>
          <w:rFonts w:eastAsia="標楷體" w:hint="eastAsia"/>
          <w:sz w:val="20"/>
          <w:szCs w:val="20"/>
        </w:rPr>
        <w:t>App</w:t>
      </w:r>
      <w:r w:rsidRPr="00B8399E">
        <w:rPr>
          <w:rFonts w:eastAsia="標楷體" w:hint="eastAsia"/>
          <w:sz w:val="20"/>
          <w:szCs w:val="20"/>
        </w:rPr>
        <w:t>的操作流程如下：用戶可以通過</w:t>
      </w:r>
      <w:r w:rsidRPr="00B8399E">
        <w:rPr>
          <w:rFonts w:eastAsia="標楷體" w:hint="eastAsia"/>
          <w:sz w:val="20"/>
          <w:szCs w:val="20"/>
        </w:rPr>
        <w:t>App</w:t>
      </w:r>
      <w:r w:rsidRPr="00B8399E">
        <w:rPr>
          <w:rFonts w:eastAsia="標楷體" w:hint="eastAsia"/>
          <w:sz w:val="20"/>
          <w:szCs w:val="20"/>
        </w:rPr>
        <w:t>拍攝眼部照片。這些照片會被上傳到</w:t>
      </w:r>
      <w:r w:rsidRPr="00B8399E">
        <w:rPr>
          <w:rFonts w:eastAsia="標楷體" w:hint="eastAsia"/>
          <w:sz w:val="20"/>
          <w:szCs w:val="20"/>
        </w:rPr>
        <w:t>AWS</w:t>
      </w:r>
      <w:r w:rsidRPr="00B8399E">
        <w:rPr>
          <w:rFonts w:eastAsia="標楷體" w:hint="eastAsia"/>
          <w:sz w:val="20"/>
          <w:szCs w:val="20"/>
        </w:rPr>
        <w:t>的</w:t>
      </w:r>
      <w:r w:rsidRPr="00B8399E">
        <w:rPr>
          <w:rFonts w:eastAsia="標楷體" w:hint="eastAsia"/>
          <w:sz w:val="20"/>
          <w:szCs w:val="20"/>
        </w:rPr>
        <w:t>Web API</w:t>
      </w:r>
      <w:r w:rsidRPr="00B8399E">
        <w:rPr>
          <w:rFonts w:eastAsia="標楷體" w:hint="eastAsia"/>
          <w:sz w:val="20"/>
          <w:szCs w:val="20"/>
        </w:rPr>
        <w:t>，</w:t>
      </w:r>
      <w:r w:rsidRPr="00B8399E">
        <w:rPr>
          <w:rFonts w:eastAsia="標楷體" w:hint="eastAsia"/>
          <w:sz w:val="20"/>
          <w:szCs w:val="20"/>
        </w:rPr>
        <w:t>API</w:t>
      </w:r>
      <w:r w:rsidRPr="00B8399E">
        <w:rPr>
          <w:rFonts w:eastAsia="標楷體" w:hint="eastAsia"/>
          <w:sz w:val="20"/>
          <w:szCs w:val="20"/>
        </w:rPr>
        <w:t>會使用模型進行預測，並將預測結果以</w:t>
      </w:r>
      <w:r w:rsidRPr="00B8399E">
        <w:rPr>
          <w:rFonts w:eastAsia="標楷體" w:hint="eastAsia"/>
          <w:sz w:val="20"/>
          <w:szCs w:val="20"/>
        </w:rPr>
        <w:t>HTTP GET</w:t>
      </w:r>
      <w:r w:rsidRPr="00B8399E">
        <w:rPr>
          <w:rFonts w:eastAsia="標楷體" w:hint="eastAsia"/>
          <w:sz w:val="20"/>
          <w:szCs w:val="20"/>
        </w:rPr>
        <w:t>的方式返回給</w:t>
      </w:r>
      <w:r w:rsidRPr="00B8399E">
        <w:rPr>
          <w:rFonts w:eastAsia="標楷體" w:hint="eastAsia"/>
          <w:sz w:val="20"/>
          <w:szCs w:val="20"/>
        </w:rPr>
        <w:t>App</w:t>
      </w:r>
      <w:r w:rsidRPr="00B8399E">
        <w:rPr>
          <w:rFonts w:eastAsia="標楷體" w:hint="eastAsia"/>
          <w:sz w:val="20"/>
          <w:szCs w:val="20"/>
        </w:rPr>
        <w:t>。在</w:t>
      </w:r>
      <w:r w:rsidRPr="00B8399E">
        <w:rPr>
          <w:rFonts w:eastAsia="標楷體" w:hint="eastAsia"/>
          <w:sz w:val="20"/>
          <w:szCs w:val="20"/>
        </w:rPr>
        <w:t>App</w:t>
      </w:r>
      <w:r w:rsidRPr="00B8399E">
        <w:rPr>
          <w:rFonts w:eastAsia="標楷體" w:hint="eastAsia"/>
          <w:sz w:val="20"/>
          <w:szCs w:val="20"/>
        </w:rPr>
        <w:t>內，我們</w:t>
      </w:r>
      <w:proofErr w:type="gramStart"/>
      <w:r w:rsidRPr="00B8399E">
        <w:rPr>
          <w:rFonts w:eastAsia="標楷體" w:hint="eastAsia"/>
          <w:sz w:val="20"/>
          <w:szCs w:val="20"/>
        </w:rPr>
        <w:t>使用閥值判斷</w:t>
      </w:r>
      <w:proofErr w:type="gramEnd"/>
      <w:r w:rsidRPr="00B8399E">
        <w:rPr>
          <w:rFonts w:eastAsia="標楷體" w:hint="eastAsia"/>
          <w:sz w:val="20"/>
          <w:szCs w:val="20"/>
        </w:rPr>
        <w:t>這些預測值，以確定是否存在貧血或黃疸，並評估其嚴重程度。</w:t>
      </w:r>
    </w:p>
    <w:p w14:paraId="0FB05396" w14:textId="77777777" w:rsidR="00F46504" w:rsidRPr="00697ECE" w:rsidRDefault="00F46504" w:rsidP="00F46504">
      <w:pPr>
        <w:pStyle w:val="2"/>
        <w:numPr>
          <w:ilvl w:val="0"/>
          <w:numId w:val="6"/>
        </w:numPr>
        <w:tabs>
          <w:tab w:val="clear" w:pos="360"/>
        </w:tabs>
        <w:snapToGrid w:val="0"/>
        <w:spacing w:beforeLines="50" w:before="120" w:afterLines="50" w:after="120"/>
        <w:ind w:left="238" w:hanging="238"/>
        <w:rPr>
          <w:szCs w:val="24"/>
        </w:rPr>
      </w:pPr>
      <w:r w:rsidRPr="00697ECE">
        <w:rPr>
          <w:rFonts w:hint="eastAsia"/>
          <w:szCs w:val="24"/>
        </w:rPr>
        <w:t>結論</w:t>
      </w:r>
    </w:p>
    <w:p w14:paraId="4AE6B4BB" w14:textId="77777777" w:rsidR="00F46504" w:rsidRPr="00B8399E" w:rsidRDefault="00F46504" w:rsidP="00F62553">
      <w:pPr>
        <w:snapToGrid w:val="0"/>
        <w:spacing w:beforeLines="50" w:before="120" w:afterLines="50" w:after="120"/>
        <w:ind w:left="431"/>
        <w:rPr>
          <w:rFonts w:eastAsia="標楷體"/>
          <w:sz w:val="20"/>
          <w:szCs w:val="20"/>
        </w:rPr>
      </w:pPr>
    </w:p>
    <w:p w14:paraId="64554721" w14:textId="4AABECA4" w:rsidR="001B127F" w:rsidRPr="00F46504" w:rsidRDefault="001B127F" w:rsidP="00E94DB9">
      <w:pPr>
        <w:numPr>
          <w:ilvl w:val="1"/>
          <w:numId w:val="6"/>
        </w:numPr>
        <w:snapToGrid w:val="0"/>
        <w:spacing w:beforeLines="50" w:before="120" w:afterLines="50" w:after="120"/>
        <w:ind w:left="431" w:hanging="431"/>
        <w:rPr>
          <w:rFonts w:eastAsia="標楷體"/>
          <w:b/>
          <w:color w:val="AEAAAA" w:themeColor="background2" w:themeShade="BF"/>
        </w:rPr>
      </w:pPr>
      <w:r w:rsidRPr="00F46504">
        <w:rPr>
          <w:rFonts w:eastAsia="標楷體"/>
          <w:b/>
          <w:color w:val="AEAAAA" w:themeColor="background2" w:themeShade="BF"/>
        </w:rPr>
        <w:t>圖表及公式</w:t>
      </w:r>
    </w:p>
    <w:p w14:paraId="3696AB95" w14:textId="77777777" w:rsidR="001B127F" w:rsidRPr="00F46504" w:rsidRDefault="001B127F">
      <w:pPr>
        <w:snapToGrid w:val="0"/>
        <w:ind w:firstLine="426"/>
        <w:jc w:val="both"/>
        <w:rPr>
          <w:rFonts w:eastAsia="標楷體"/>
          <w:color w:val="AEAAAA" w:themeColor="background2" w:themeShade="BF"/>
          <w:sz w:val="20"/>
          <w:szCs w:val="20"/>
        </w:rPr>
      </w:pPr>
      <w:bookmarkStart w:id="2" w:name="_Hlk147404499"/>
      <w:r w:rsidRPr="00F46504">
        <w:rPr>
          <w:rFonts w:eastAsia="標楷體"/>
          <w:color w:val="AEAAAA" w:themeColor="background2" w:themeShade="BF"/>
          <w:sz w:val="20"/>
          <w:szCs w:val="20"/>
        </w:rPr>
        <w:t>圖形、表格及公式請依先後次序標號，標號請用半型阿拉伯數字，並</w:t>
      </w:r>
      <w:bookmarkEnd w:id="2"/>
      <w:r w:rsidRPr="00F46504">
        <w:rPr>
          <w:rFonts w:eastAsia="標楷體"/>
          <w:color w:val="AEAAAA" w:themeColor="background2" w:themeShade="BF"/>
          <w:sz w:val="20"/>
          <w:szCs w:val="20"/>
        </w:rPr>
        <w:t>將圖說撰寫於圖形下方置中，表格說明撰寫於表格上方置中。所</w:t>
      </w:r>
      <w:proofErr w:type="gramStart"/>
      <w:r w:rsidRPr="00F46504">
        <w:rPr>
          <w:rFonts w:eastAsia="標楷體"/>
          <w:color w:val="AEAAAA" w:themeColor="background2" w:themeShade="BF"/>
          <w:sz w:val="20"/>
          <w:szCs w:val="20"/>
        </w:rPr>
        <w:t>附圖表請務必</w:t>
      </w:r>
      <w:proofErr w:type="gramEnd"/>
      <w:r w:rsidRPr="00F46504">
        <w:rPr>
          <w:rFonts w:eastAsia="標楷體"/>
          <w:color w:val="AEAAAA" w:themeColor="background2" w:themeShade="BF"/>
          <w:sz w:val="20"/>
          <w:szCs w:val="20"/>
        </w:rPr>
        <w:t>清晰並註明正確來源。以下</w:t>
      </w:r>
      <w:r w:rsidRPr="00F46504">
        <w:rPr>
          <w:rFonts w:eastAsia="標楷體"/>
          <w:color w:val="AEAAAA" w:themeColor="background2" w:themeShade="BF"/>
          <w:sz w:val="20"/>
          <w:szCs w:val="20"/>
        </w:rPr>
        <w:fldChar w:fldCharType="begin"/>
      </w:r>
      <w:r w:rsidRPr="00F46504">
        <w:rPr>
          <w:rFonts w:eastAsia="標楷體"/>
          <w:color w:val="AEAAAA" w:themeColor="background2" w:themeShade="BF"/>
          <w:sz w:val="20"/>
          <w:szCs w:val="20"/>
        </w:rPr>
        <w:instrText xml:space="preserve"> REF _Ref40473269 \h  \* MERGEFORMAT </w:instrText>
      </w:r>
      <w:r w:rsidRPr="00F46504">
        <w:rPr>
          <w:rFonts w:eastAsia="標楷體"/>
          <w:color w:val="AEAAAA" w:themeColor="background2" w:themeShade="BF"/>
          <w:sz w:val="20"/>
          <w:szCs w:val="20"/>
        </w:rPr>
      </w:r>
      <w:r w:rsidRPr="00F46504">
        <w:rPr>
          <w:rFonts w:eastAsia="標楷體"/>
          <w:color w:val="AEAAAA" w:themeColor="background2" w:themeShade="BF"/>
          <w:sz w:val="20"/>
          <w:szCs w:val="20"/>
        </w:rPr>
        <w:fldChar w:fldCharType="separate"/>
      </w:r>
      <w:r w:rsidR="00775F51" w:rsidRPr="00F46504">
        <w:rPr>
          <w:rFonts w:eastAsia="標楷體"/>
          <w:color w:val="AEAAAA" w:themeColor="background2" w:themeShade="BF"/>
          <w:sz w:val="20"/>
          <w:szCs w:val="20"/>
        </w:rPr>
        <w:t>圖</w:t>
      </w:r>
      <w:r w:rsidR="00775F51" w:rsidRPr="00F46504">
        <w:rPr>
          <w:rFonts w:eastAsia="標楷體"/>
          <w:color w:val="AEAAAA" w:themeColor="background2" w:themeShade="BF"/>
          <w:sz w:val="20"/>
          <w:szCs w:val="20"/>
        </w:rPr>
        <w:t xml:space="preserve"> </w:t>
      </w:r>
      <w:r w:rsidR="00775F51" w:rsidRPr="00F46504">
        <w:rPr>
          <w:rFonts w:eastAsia="標楷體"/>
          <w:noProof/>
          <w:color w:val="AEAAAA" w:themeColor="background2" w:themeShade="BF"/>
          <w:sz w:val="20"/>
          <w:szCs w:val="20"/>
        </w:rPr>
        <w:t>1</w:t>
      </w:r>
      <w:r w:rsidRPr="00F46504">
        <w:rPr>
          <w:rFonts w:eastAsia="標楷體"/>
          <w:color w:val="AEAAAA" w:themeColor="background2" w:themeShade="BF"/>
          <w:sz w:val="20"/>
          <w:szCs w:val="20"/>
        </w:rPr>
        <w:fldChar w:fldCharType="end"/>
      </w:r>
      <w:r w:rsidRPr="00F46504">
        <w:rPr>
          <w:rFonts w:eastAsia="標楷體"/>
          <w:color w:val="AEAAAA" w:themeColor="background2" w:themeShade="BF"/>
          <w:sz w:val="20"/>
          <w:szCs w:val="20"/>
        </w:rPr>
        <w:t>為圖形及圖形說明之範例。</w:t>
      </w:r>
      <w:r w:rsidRPr="00F46504">
        <w:rPr>
          <w:rFonts w:eastAsia="標楷體"/>
          <w:color w:val="AEAAAA" w:themeColor="background2" w:themeShade="BF"/>
          <w:sz w:val="20"/>
          <w:szCs w:val="20"/>
        </w:rPr>
        <w:fldChar w:fldCharType="begin"/>
      </w:r>
      <w:r w:rsidRPr="00F46504">
        <w:rPr>
          <w:rFonts w:eastAsia="標楷體"/>
          <w:color w:val="AEAAAA" w:themeColor="background2" w:themeShade="BF"/>
          <w:sz w:val="20"/>
          <w:szCs w:val="20"/>
        </w:rPr>
        <w:instrText xml:space="preserve"> REF _Ref40473466 \h  \* MERGEFORMAT </w:instrText>
      </w:r>
      <w:r w:rsidRPr="00F46504">
        <w:rPr>
          <w:rFonts w:eastAsia="標楷體"/>
          <w:color w:val="AEAAAA" w:themeColor="background2" w:themeShade="BF"/>
          <w:sz w:val="20"/>
          <w:szCs w:val="20"/>
        </w:rPr>
      </w:r>
      <w:r w:rsidRPr="00F46504">
        <w:rPr>
          <w:rFonts w:eastAsia="標楷體"/>
          <w:color w:val="AEAAAA" w:themeColor="background2" w:themeShade="BF"/>
          <w:sz w:val="20"/>
          <w:szCs w:val="20"/>
        </w:rPr>
        <w:fldChar w:fldCharType="separate"/>
      </w:r>
      <w:r w:rsidR="00775F51" w:rsidRPr="00F46504">
        <w:rPr>
          <w:rFonts w:eastAsia="標楷體"/>
          <w:color w:val="AEAAAA" w:themeColor="background2" w:themeShade="BF"/>
          <w:sz w:val="20"/>
          <w:szCs w:val="20"/>
        </w:rPr>
        <w:t>表</w:t>
      </w:r>
      <w:r w:rsidR="00775F51" w:rsidRPr="00F46504">
        <w:rPr>
          <w:rFonts w:eastAsia="標楷體"/>
          <w:color w:val="AEAAAA" w:themeColor="background2" w:themeShade="BF"/>
          <w:sz w:val="20"/>
          <w:szCs w:val="20"/>
        </w:rPr>
        <w:t xml:space="preserve"> </w:t>
      </w:r>
      <w:r w:rsidR="00775F51" w:rsidRPr="00F46504">
        <w:rPr>
          <w:rFonts w:eastAsia="標楷體"/>
          <w:noProof/>
          <w:color w:val="AEAAAA" w:themeColor="background2" w:themeShade="BF"/>
          <w:sz w:val="20"/>
          <w:szCs w:val="20"/>
        </w:rPr>
        <w:t>1</w:t>
      </w:r>
      <w:r w:rsidRPr="00F46504">
        <w:rPr>
          <w:rFonts w:eastAsia="標楷體"/>
          <w:color w:val="AEAAAA" w:themeColor="background2" w:themeShade="BF"/>
          <w:sz w:val="20"/>
          <w:szCs w:val="20"/>
        </w:rPr>
        <w:fldChar w:fldCharType="end"/>
      </w:r>
      <w:r w:rsidRPr="00F46504">
        <w:rPr>
          <w:rFonts w:eastAsia="標楷體"/>
          <w:color w:val="AEAAAA" w:themeColor="background2" w:themeShade="BF"/>
          <w:sz w:val="20"/>
          <w:szCs w:val="20"/>
        </w:rPr>
        <w:t>為表格及表格說明之範例。</w:t>
      </w:r>
    </w:p>
    <w:p w14:paraId="4D4150DD" w14:textId="77777777" w:rsidR="00D34014" w:rsidRPr="00201356" w:rsidRDefault="00D34014" w:rsidP="00D34014">
      <w:pPr>
        <w:snapToGrid w:val="0"/>
        <w:ind w:firstLine="426"/>
        <w:jc w:val="both"/>
        <w:rPr>
          <w:rFonts w:eastAsia="標楷體"/>
          <w:sz w:val="20"/>
          <w:szCs w:val="20"/>
        </w:rPr>
      </w:pPr>
      <w:r w:rsidRPr="00F46504">
        <w:rPr>
          <w:rFonts w:eastAsia="標楷體"/>
          <w:color w:val="AEAAAA" w:themeColor="background2" w:themeShade="BF"/>
          <w:sz w:val="20"/>
          <w:szCs w:val="20"/>
        </w:rPr>
        <w:t>圖形、表格及公式</w:t>
      </w:r>
      <w:r w:rsidRPr="00F46504">
        <w:rPr>
          <w:rFonts w:eastAsia="標楷體" w:hint="eastAsia"/>
          <w:color w:val="AEAAAA" w:themeColor="background2" w:themeShade="BF"/>
          <w:sz w:val="20"/>
          <w:szCs w:val="20"/>
        </w:rPr>
        <w:t>的書寫，</w:t>
      </w:r>
      <w:r w:rsidR="007870B5" w:rsidRPr="00F46504">
        <w:rPr>
          <w:rFonts w:eastAsia="標楷體"/>
          <w:color w:val="AEAAAA" w:themeColor="background2" w:themeShade="BF"/>
          <w:sz w:val="20"/>
          <w:szCs w:val="20"/>
        </w:rPr>
        <w:t>中英文皆可，請選用標楷體之中文字型及</w:t>
      </w:r>
      <w:r w:rsidR="007870B5" w:rsidRPr="00F46504">
        <w:rPr>
          <w:rFonts w:eastAsia="標楷體"/>
          <w:color w:val="AEAAAA" w:themeColor="background2" w:themeShade="BF"/>
          <w:sz w:val="20"/>
          <w:szCs w:val="20"/>
        </w:rPr>
        <w:t>Times New Roman</w:t>
      </w:r>
      <w:r w:rsidR="007870B5" w:rsidRPr="00F46504">
        <w:rPr>
          <w:rFonts w:eastAsia="標楷體"/>
          <w:color w:val="AEAAAA" w:themeColor="background2" w:themeShade="BF"/>
          <w:sz w:val="20"/>
          <w:szCs w:val="20"/>
        </w:rPr>
        <w:t>之英文字型，點數為</w:t>
      </w:r>
      <w:r w:rsidR="007870B5" w:rsidRPr="00F46504">
        <w:rPr>
          <w:rFonts w:eastAsia="標楷體"/>
          <w:color w:val="AEAAAA" w:themeColor="background2" w:themeShade="BF"/>
          <w:sz w:val="20"/>
          <w:szCs w:val="20"/>
        </w:rPr>
        <w:t>1</w:t>
      </w:r>
      <w:r w:rsidRPr="00F46504">
        <w:rPr>
          <w:rFonts w:eastAsia="標楷體" w:hint="eastAsia"/>
          <w:color w:val="AEAAAA" w:themeColor="background2" w:themeShade="BF"/>
          <w:sz w:val="20"/>
          <w:szCs w:val="20"/>
        </w:rPr>
        <w:t>0</w:t>
      </w:r>
      <w:r w:rsidR="007870B5" w:rsidRPr="00F46504">
        <w:rPr>
          <w:rFonts w:eastAsia="標楷體"/>
          <w:color w:val="AEAAAA" w:themeColor="background2" w:themeShade="BF"/>
          <w:sz w:val="20"/>
          <w:szCs w:val="20"/>
        </w:rPr>
        <w:t>點</w:t>
      </w:r>
      <w:r w:rsidRPr="00F46504">
        <w:rPr>
          <w:rFonts w:eastAsia="標楷體" w:hint="eastAsia"/>
          <w:color w:val="AEAAAA" w:themeColor="background2" w:themeShade="BF"/>
          <w:sz w:val="20"/>
          <w:szCs w:val="20"/>
        </w:rPr>
        <w:t>，</w:t>
      </w:r>
      <w:r w:rsidRPr="00F46504">
        <w:rPr>
          <w:rFonts w:eastAsia="標楷體"/>
          <w:color w:val="AEAAAA" w:themeColor="background2" w:themeShade="BF"/>
          <w:sz w:val="20"/>
          <w:szCs w:val="20"/>
        </w:rPr>
        <w:t>粗體字型</w:t>
      </w:r>
      <w:r w:rsidRPr="00201356">
        <w:rPr>
          <w:rFonts w:eastAsia="標楷體" w:hint="eastAsia"/>
          <w:sz w:val="20"/>
          <w:szCs w:val="20"/>
        </w:rPr>
        <w:t>。</w:t>
      </w:r>
    </w:p>
    <w:p w14:paraId="5DC8110A" w14:textId="77777777" w:rsidR="001B127F" w:rsidRPr="00AB6335" w:rsidRDefault="007870B5" w:rsidP="00D34014">
      <w:pPr>
        <w:snapToGrid w:val="0"/>
        <w:ind w:firstLine="426"/>
        <w:jc w:val="both"/>
        <w:rPr>
          <w:rFonts w:eastAsia="標楷體"/>
          <w:color w:val="AEAAAA" w:themeColor="background2" w:themeShade="BF"/>
          <w:sz w:val="20"/>
          <w:szCs w:val="20"/>
        </w:rPr>
      </w:pPr>
      <w:r w:rsidRPr="00AB6335">
        <w:rPr>
          <w:rFonts w:eastAsia="標楷體"/>
          <w:color w:val="AEAAAA" w:themeColor="background2" w:themeShade="BF"/>
          <w:sz w:val="20"/>
          <w:szCs w:val="20"/>
        </w:rPr>
        <w:t>章節標題為粗體字型，點數為</w:t>
      </w:r>
      <w:r w:rsidRPr="00AB6335">
        <w:rPr>
          <w:rFonts w:eastAsia="標楷體"/>
          <w:color w:val="AEAAAA" w:themeColor="background2" w:themeShade="BF"/>
          <w:sz w:val="20"/>
          <w:szCs w:val="20"/>
        </w:rPr>
        <w:t>12</w:t>
      </w:r>
      <w:r w:rsidRPr="00AB6335">
        <w:rPr>
          <w:rFonts w:eastAsia="標楷體"/>
          <w:color w:val="AEAAAA" w:themeColor="background2" w:themeShade="BF"/>
          <w:sz w:val="20"/>
          <w:szCs w:val="20"/>
        </w:rPr>
        <w:t>點，作者資料點數為</w:t>
      </w:r>
      <w:r w:rsidRPr="00AB6335">
        <w:rPr>
          <w:rFonts w:eastAsia="標楷體"/>
          <w:color w:val="AEAAAA" w:themeColor="background2" w:themeShade="BF"/>
          <w:sz w:val="20"/>
          <w:szCs w:val="20"/>
        </w:rPr>
        <w:t>1</w:t>
      </w:r>
      <w:r w:rsidRPr="00AB6335">
        <w:rPr>
          <w:rFonts w:eastAsia="標楷體" w:hint="eastAsia"/>
          <w:color w:val="AEAAAA" w:themeColor="background2" w:themeShade="BF"/>
          <w:sz w:val="20"/>
          <w:szCs w:val="20"/>
        </w:rPr>
        <w:t>1</w:t>
      </w:r>
      <w:r w:rsidRPr="00AB6335">
        <w:rPr>
          <w:rFonts w:eastAsia="標楷體"/>
          <w:color w:val="AEAAAA" w:themeColor="background2" w:themeShade="BF"/>
          <w:sz w:val="20"/>
          <w:szCs w:val="20"/>
        </w:rPr>
        <w:t>點</w:t>
      </w:r>
      <w:r w:rsidRPr="00AB6335">
        <w:rPr>
          <w:rFonts w:eastAsia="標楷體" w:hint="eastAsia"/>
          <w:color w:val="AEAAAA" w:themeColor="background2" w:themeShade="BF"/>
          <w:sz w:val="20"/>
          <w:szCs w:val="20"/>
        </w:rPr>
        <w:t>，</w:t>
      </w:r>
      <w:r w:rsidRPr="00AB6335">
        <w:rPr>
          <w:rFonts w:eastAsia="標楷體"/>
          <w:color w:val="AEAAAA" w:themeColor="background2" w:themeShade="BF"/>
          <w:sz w:val="20"/>
          <w:szCs w:val="20"/>
        </w:rPr>
        <w:t>圖表說明請用粗體字型，點數為</w:t>
      </w:r>
      <w:r w:rsidRPr="00AB6335">
        <w:rPr>
          <w:rFonts w:eastAsia="標楷體"/>
          <w:color w:val="AEAAAA" w:themeColor="background2" w:themeShade="BF"/>
          <w:sz w:val="20"/>
          <w:szCs w:val="20"/>
        </w:rPr>
        <w:t>10</w:t>
      </w:r>
      <w:r w:rsidRPr="00AB6335">
        <w:rPr>
          <w:rFonts w:eastAsia="標楷體"/>
          <w:color w:val="AEAAAA" w:themeColor="background2" w:themeShade="BF"/>
          <w:sz w:val="20"/>
          <w:szCs w:val="20"/>
        </w:rPr>
        <w:t>點，其餘論文內容及參考文獻為標準體字型，點數為</w:t>
      </w:r>
      <w:r w:rsidRPr="00AB6335">
        <w:rPr>
          <w:rFonts w:eastAsia="標楷體" w:hint="eastAsia"/>
          <w:color w:val="AEAAAA" w:themeColor="background2" w:themeShade="BF"/>
          <w:sz w:val="20"/>
          <w:szCs w:val="20"/>
        </w:rPr>
        <w:t>10</w:t>
      </w:r>
      <w:r w:rsidRPr="00AB6335">
        <w:rPr>
          <w:rFonts w:eastAsia="標楷體"/>
          <w:color w:val="AEAAAA" w:themeColor="background2" w:themeShade="BF"/>
          <w:sz w:val="20"/>
          <w:szCs w:val="20"/>
        </w:rPr>
        <w:t>點。</w:t>
      </w:r>
    </w:p>
    <w:p w14:paraId="5F4295E8" w14:textId="77777777" w:rsidR="007870B5" w:rsidRPr="00AB6335" w:rsidRDefault="007870B5" w:rsidP="00830245">
      <w:pPr>
        <w:pStyle w:val="a4"/>
        <w:tabs>
          <w:tab w:val="clear" w:pos="4153"/>
          <w:tab w:val="clear" w:pos="8306"/>
        </w:tabs>
        <w:rPr>
          <w:rFonts w:eastAsia="標楷體"/>
          <w:color w:val="AEAAAA" w:themeColor="background2" w:themeShade="BF"/>
        </w:rPr>
      </w:pPr>
    </w:p>
    <w:p w14:paraId="187DC6FE" w14:textId="77777777" w:rsidR="001B127F" w:rsidRPr="00AB6335" w:rsidRDefault="00890FCE">
      <w:pPr>
        <w:pStyle w:val="a5"/>
        <w:keepNext/>
        <w:snapToGrid w:val="0"/>
        <w:ind w:firstLine="0"/>
        <w:jc w:val="center"/>
        <w:rPr>
          <w:color w:val="AEAAAA" w:themeColor="background2" w:themeShade="BF"/>
        </w:rPr>
      </w:pPr>
      <w:r w:rsidRPr="00AB6335">
        <w:rPr>
          <w:rFonts w:hint="eastAsia"/>
          <w:noProof/>
          <w:color w:val="AEAAAA" w:themeColor="background2" w:themeShade="BF"/>
        </w:rPr>
        <w:drawing>
          <wp:inline distT="0" distB="0" distL="0" distR="0" wp14:anchorId="7D760CD5" wp14:editId="34D7324D">
            <wp:extent cx="2313940" cy="922655"/>
            <wp:effectExtent l="0" t="0" r="0" b="0"/>
            <wp:docPr id="3" name="圖片 3" descr="C:\Users\jeep3\Desktop\TACE_Logo_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ep3\Desktop\TACE_Logo_CH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3940" cy="922655"/>
                    </a:xfrm>
                    <a:prstGeom prst="rect">
                      <a:avLst/>
                    </a:prstGeom>
                    <a:noFill/>
                    <a:ln>
                      <a:noFill/>
                    </a:ln>
                  </pic:spPr>
                </pic:pic>
              </a:graphicData>
            </a:graphic>
          </wp:inline>
        </w:drawing>
      </w:r>
    </w:p>
    <w:p w14:paraId="2C47AC5B" w14:textId="77777777" w:rsidR="001B127F" w:rsidRPr="00AB6335" w:rsidRDefault="001B127F">
      <w:pPr>
        <w:pStyle w:val="a6"/>
        <w:snapToGrid w:val="0"/>
        <w:jc w:val="center"/>
        <w:rPr>
          <w:rFonts w:eastAsia="標楷體"/>
          <w:b/>
          <w:color w:val="AEAAAA" w:themeColor="background2" w:themeShade="BF"/>
        </w:rPr>
      </w:pPr>
      <w:bookmarkStart w:id="3" w:name="_Ref40473269"/>
      <w:bookmarkStart w:id="4" w:name="_Hlk147403556"/>
      <w:r w:rsidRPr="00AB6335">
        <w:rPr>
          <w:rFonts w:eastAsia="標楷體"/>
          <w:b/>
          <w:color w:val="AEAAAA" w:themeColor="background2" w:themeShade="BF"/>
        </w:rPr>
        <w:t>圖</w:t>
      </w:r>
      <w:r w:rsidRPr="00AB6335">
        <w:rPr>
          <w:rFonts w:eastAsia="標楷體"/>
          <w:b/>
          <w:color w:val="AEAAAA" w:themeColor="background2" w:themeShade="BF"/>
        </w:rPr>
        <w:t xml:space="preserve"> </w:t>
      </w:r>
      <w:r w:rsidRPr="00AB6335">
        <w:rPr>
          <w:rFonts w:eastAsia="標楷體"/>
          <w:b/>
          <w:color w:val="AEAAAA" w:themeColor="background2" w:themeShade="BF"/>
        </w:rPr>
        <w:fldChar w:fldCharType="begin"/>
      </w:r>
      <w:r w:rsidRPr="00AB6335">
        <w:rPr>
          <w:rFonts w:eastAsia="標楷體"/>
          <w:b/>
          <w:color w:val="AEAAAA" w:themeColor="background2" w:themeShade="BF"/>
        </w:rPr>
        <w:instrText xml:space="preserve"> SEQ </w:instrText>
      </w:r>
      <w:r w:rsidRPr="00AB6335">
        <w:rPr>
          <w:rFonts w:eastAsia="標楷體"/>
          <w:b/>
          <w:color w:val="AEAAAA" w:themeColor="background2" w:themeShade="BF"/>
        </w:rPr>
        <w:instrText>圖</w:instrText>
      </w:r>
      <w:r w:rsidRPr="00AB6335">
        <w:rPr>
          <w:rFonts w:eastAsia="標楷體"/>
          <w:b/>
          <w:color w:val="AEAAAA" w:themeColor="background2" w:themeShade="BF"/>
        </w:rPr>
        <w:instrText xml:space="preserve"> \* ARABIC </w:instrText>
      </w:r>
      <w:r w:rsidRPr="00AB6335">
        <w:rPr>
          <w:rFonts w:eastAsia="標楷體"/>
          <w:b/>
          <w:color w:val="AEAAAA" w:themeColor="background2" w:themeShade="BF"/>
        </w:rPr>
        <w:fldChar w:fldCharType="separate"/>
      </w:r>
      <w:r w:rsidR="00775F51" w:rsidRPr="00AB6335">
        <w:rPr>
          <w:rFonts w:eastAsia="標楷體"/>
          <w:b/>
          <w:noProof/>
          <w:color w:val="AEAAAA" w:themeColor="background2" w:themeShade="BF"/>
        </w:rPr>
        <w:t>1</w:t>
      </w:r>
      <w:r w:rsidRPr="00AB6335">
        <w:rPr>
          <w:rFonts w:eastAsia="標楷體"/>
          <w:b/>
          <w:color w:val="AEAAAA" w:themeColor="background2" w:themeShade="BF"/>
        </w:rPr>
        <w:fldChar w:fldCharType="end"/>
      </w:r>
      <w:bookmarkEnd w:id="3"/>
      <w:r w:rsidRPr="00AB6335">
        <w:rPr>
          <w:rFonts w:eastAsia="標楷體"/>
          <w:b/>
          <w:color w:val="AEAAAA" w:themeColor="background2" w:themeShade="BF"/>
        </w:rPr>
        <w:t xml:space="preserve"> </w:t>
      </w:r>
      <w:r w:rsidR="00890FCE" w:rsidRPr="00AB6335">
        <w:rPr>
          <w:rFonts w:eastAsia="標楷體" w:hint="eastAsia"/>
          <w:b/>
          <w:color w:val="AEAAAA" w:themeColor="background2" w:themeShade="BF"/>
        </w:rPr>
        <w:t>中華民國民生電子學會</w:t>
      </w:r>
    </w:p>
    <w:p w14:paraId="54ABEDBB" w14:textId="77777777" w:rsidR="001B127F" w:rsidRPr="007817F6" w:rsidRDefault="001B127F" w:rsidP="00E94DB9">
      <w:pPr>
        <w:numPr>
          <w:ilvl w:val="1"/>
          <w:numId w:val="6"/>
        </w:numPr>
        <w:snapToGrid w:val="0"/>
        <w:spacing w:beforeLines="50" w:before="120" w:afterLines="50" w:after="120"/>
        <w:ind w:left="238" w:hanging="238"/>
        <w:rPr>
          <w:rFonts w:eastAsia="標楷體"/>
          <w:b/>
          <w:color w:val="AEAAAA" w:themeColor="background2" w:themeShade="BF"/>
        </w:rPr>
      </w:pPr>
      <w:bookmarkStart w:id="5" w:name="_Ref40473716"/>
      <w:bookmarkEnd w:id="4"/>
      <w:r w:rsidRPr="007817F6">
        <w:rPr>
          <w:rFonts w:eastAsia="標楷體"/>
          <w:b/>
          <w:color w:val="AEAAAA" w:themeColor="background2" w:themeShade="BF"/>
        </w:rPr>
        <w:t>邊界設定</w:t>
      </w:r>
      <w:bookmarkEnd w:id="5"/>
    </w:p>
    <w:p w14:paraId="62CC147F" w14:textId="77777777" w:rsidR="001B127F" w:rsidRPr="007817F6" w:rsidRDefault="001B127F">
      <w:pPr>
        <w:pStyle w:val="a5"/>
        <w:snapToGrid w:val="0"/>
        <w:jc w:val="both"/>
        <w:rPr>
          <w:color w:val="AEAAAA" w:themeColor="background2" w:themeShade="BF"/>
        </w:rPr>
      </w:pPr>
      <w:r w:rsidRPr="007817F6">
        <w:rPr>
          <w:color w:val="AEAAAA" w:themeColor="background2" w:themeShade="BF"/>
        </w:rPr>
        <w:t>文章格式請以</w:t>
      </w:r>
      <w:r w:rsidRPr="007817F6">
        <w:rPr>
          <w:color w:val="AEAAAA" w:themeColor="background2" w:themeShade="BF"/>
        </w:rPr>
        <w:t>A4</w:t>
      </w:r>
      <w:r w:rsidRPr="007817F6">
        <w:rPr>
          <w:color w:val="AEAAAA" w:themeColor="background2" w:themeShade="BF"/>
        </w:rPr>
        <w:t>紙格式撰寫，</w:t>
      </w:r>
      <w:proofErr w:type="gramStart"/>
      <w:r w:rsidRPr="007817F6">
        <w:rPr>
          <w:color w:val="AEAAAA" w:themeColor="background2" w:themeShade="BF"/>
        </w:rPr>
        <w:t>每一頁請用</w:t>
      </w:r>
      <w:proofErr w:type="gramEnd"/>
      <w:r w:rsidRPr="007817F6">
        <w:rPr>
          <w:color w:val="AEAAAA" w:themeColor="background2" w:themeShade="BF"/>
        </w:rPr>
        <w:t>兩欄格式，行距使用單行間距，上下及左右邊界</w:t>
      </w:r>
      <w:proofErr w:type="gramStart"/>
      <w:r w:rsidRPr="007817F6">
        <w:rPr>
          <w:color w:val="AEAAAA" w:themeColor="background2" w:themeShade="BF"/>
        </w:rPr>
        <w:t>留白各</w:t>
      </w:r>
      <w:proofErr w:type="gramEnd"/>
      <w:smartTag w:uri="urn:schemas-microsoft-com:office:smarttags" w:element="chmetcnv">
        <w:smartTagPr>
          <w:attr w:name="TCSC" w:val="0"/>
          <w:attr w:name="NumberType" w:val="1"/>
          <w:attr w:name="Negative" w:val="False"/>
          <w:attr w:name="HasSpace" w:val="False"/>
          <w:attr w:name="SourceValue" w:val="2.5"/>
          <w:attr w:name="UnitName" w:val="C"/>
        </w:smartTagPr>
        <w:r w:rsidRPr="007817F6">
          <w:rPr>
            <w:color w:val="AEAAAA" w:themeColor="background2" w:themeShade="BF"/>
          </w:rPr>
          <w:t>2.5c</w:t>
        </w:r>
      </w:smartTag>
      <w:r w:rsidRPr="007817F6">
        <w:rPr>
          <w:color w:val="AEAAAA" w:themeColor="background2" w:themeShade="BF"/>
        </w:rPr>
        <w:t>m</w:t>
      </w:r>
      <w:r w:rsidRPr="007817F6">
        <w:rPr>
          <w:color w:val="AEAAAA" w:themeColor="background2" w:themeShade="BF"/>
        </w:rPr>
        <w:t>，欄寬</w:t>
      </w:r>
      <w:smartTag w:uri="urn:schemas-microsoft-com:office:smarttags" w:element="chmetcnv">
        <w:smartTagPr>
          <w:attr w:name="TCSC" w:val="0"/>
          <w:attr w:name="NumberType" w:val="1"/>
          <w:attr w:name="Negative" w:val="False"/>
          <w:attr w:name="HasSpace" w:val="False"/>
          <w:attr w:name="SourceValue" w:val="7.75"/>
          <w:attr w:name="UnitName" w:val="C"/>
        </w:smartTagPr>
        <w:r w:rsidRPr="007817F6">
          <w:rPr>
            <w:color w:val="AEAAAA" w:themeColor="background2" w:themeShade="BF"/>
          </w:rPr>
          <w:t>7.75c</w:t>
        </w:r>
      </w:smartTag>
      <w:r w:rsidRPr="007817F6">
        <w:rPr>
          <w:color w:val="AEAAAA" w:themeColor="background2" w:themeShade="BF"/>
        </w:rPr>
        <w:t>m</w:t>
      </w:r>
      <w:r w:rsidRPr="007817F6">
        <w:rPr>
          <w:color w:val="AEAAAA" w:themeColor="background2" w:themeShade="BF"/>
        </w:rPr>
        <w:t>，兩欄間距</w:t>
      </w:r>
      <w:smartTag w:uri="urn:schemas-microsoft-com:office:smarttags" w:element="chmetcnv">
        <w:smartTagPr>
          <w:attr w:name="TCSC" w:val="0"/>
          <w:attr w:name="NumberType" w:val="1"/>
          <w:attr w:name="Negative" w:val="False"/>
          <w:attr w:name="HasSpace" w:val="False"/>
          <w:attr w:name="SourceValue" w:val="0.5"/>
          <w:attr w:name="UnitName" w:val="C"/>
        </w:smartTagPr>
        <w:r w:rsidRPr="007817F6">
          <w:rPr>
            <w:color w:val="AEAAAA" w:themeColor="background2" w:themeShade="BF"/>
          </w:rPr>
          <w:t>0.5c</w:t>
        </w:r>
      </w:smartTag>
      <w:r w:rsidRPr="007817F6">
        <w:rPr>
          <w:color w:val="AEAAAA" w:themeColor="background2" w:themeShade="BF"/>
        </w:rPr>
        <w:t>m</w:t>
      </w:r>
      <w:r w:rsidRPr="007817F6">
        <w:rPr>
          <w:color w:val="AEAAAA" w:themeColor="background2" w:themeShade="BF"/>
        </w:rPr>
        <w:t>。</w:t>
      </w:r>
      <w:r w:rsidRPr="007817F6">
        <w:rPr>
          <w:rFonts w:hint="eastAsia"/>
          <w:color w:val="AEAAAA" w:themeColor="background2" w:themeShade="BF"/>
        </w:rPr>
        <w:t>最後一頁內容請平均置於兩欄中。</w:t>
      </w:r>
      <w:r w:rsidRPr="007817F6">
        <w:rPr>
          <w:color w:val="AEAAAA" w:themeColor="background2" w:themeShade="BF"/>
        </w:rPr>
        <w:t xml:space="preserve"> </w:t>
      </w:r>
    </w:p>
    <w:p w14:paraId="4A3B25C0" w14:textId="77777777" w:rsidR="001B127F" w:rsidRPr="007817F6" w:rsidRDefault="001B127F">
      <w:pPr>
        <w:pStyle w:val="a6"/>
        <w:keepNext/>
        <w:snapToGrid w:val="0"/>
        <w:jc w:val="center"/>
        <w:rPr>
          <w:rFonts w:eastAsia="標楷體"/>
          <w:b/>
          <w:color w:val="AEAAAA" w:themeColor="background2" w:themeShade="BF"/>
        </w:rPr>
      </w:pPr>
      <w:bookmarkStart w:id="6" w:name="_Ref40473466"/>
      <w:r w:rsidRPr="007817F6">
        <w:rPr>
          <w:rFonts w:eastAsia="標楷體"/>
          <w:b/>
          <w:color w:val="AEAAAA" w:themeColor="background2" w:themeShade="BF"/>
        </w:rPr>
        <w:t>表</w:t>
      </w:r>
      <w:r w:rsidRPr="007817F6">
        <w:rPr>
          <w:rFonts w:eastAsia="標楷體"/>
          <w:b/>
          <w:color w:val="AEAAAA" w:themeColor="background2" w:themeShade="BF"/>
        </w:rPr>
        <w:t xml:space="preserve"> </w:t>
      </w:r>
      <w:r w:rsidRPr="007817F6">
        <w:rPr>
          <w:rFonts w:eastAsia="標楷體"/>
          <w:b/>
          <w:color w:val="AEAAAA" w:themeColor="background2" w:themeShade="BF"/>
        </w:rPr>
        <w:fldChar w:fldCharType="begin"/>
      </w:r>
      <w:r w:rsidRPr="007817F6">
        <w:rPr>
          <w:rFonts w:eastAsia="標楷體"/>
          <w:b/>
          <w:color w:val="AEAAAA" w:themeColor="background2" w:themeShade="BF"/>
        </w:rPr>
        <w:instrText xml:space="preserve"> SEQ </w:instrText>
      </w:r>
      <w:r w:rsidRPr="007817F6">
        <w:rPr>
          <w:rFonts w:eastAsia="標楷體"/>
          <w:b/>
          <w:color w:val="AEAAAA" w:themeColor="background2" w:themeShade="BF"/>
        </w:rPr>
        <w:instrText>表</w:instrText>
      </w:r>
      <w:r w:rsidRPr="007817F6">
        <w:rPr>
          <w:rFonts w:eastAsia="標楷體"/>
          <w:b/>
          <w:color w:val="AEAAAA" w:themeColor="background2" w:themeShade="BF"/>
        </w:rPr>
        <w:instrText xml:space="preserve"> \* ARABIC </w:instrText>
      </w:r>
      <w:r w:rsidRPr="007817F6">
        <w:rPr>
          <w:rFonts w:eastAsia="標楷體"/>
          <w:b/>
          <w:color w:val="AEAAAA" w:themeColor="background2" w:themeShade="BF"/>
        </w:rPr>
        <w:fldChar w:fldCharType="separate"/>
      </w:r>
      <w:r w:rsidR="00775F51" w:rsidRPr="007817F6">
        <w:rPr>
          <w:rFonts w:eastAsia="標楷體"/>
          <w:b/>
          <w:noProof/>
          <w:color w:val="AEAAAA" w:themeColor="background2" w:themeShade="BF"/>
        </w:rPr>
        <w:t>1</w:t>
      </w:r>
      <w:r w:rsidRPr="007817F6">
        <w:rPr>
          <w:rFonts w:eastAsia="標楷體"/>
          <w:b/>
          <w:color w:val="AEAAAA" w:themeColor="background2" w:themeShade="BF"/>
        </w:rPr>
        <w:fldChar w:fldCharType="end"/>
      </w:r>
      <w:bookmarkEnd w:id="6"/>
      <w:r w:rsidRPr="007817F6">
        <w:rPr>
          <w:rFonts w:eastAsia="標楷體"/>
          <w:b/>
          <w:color w:val="AEAAAA" w:themeColor="background2" w:themeShade="BF"/>
        </w:rPr>
        <w:t xml:space="preserve"> </w:t>
      </w:r>
      <w:r w:rsidRPr="007817F6">
        <w:rPr>
          <w:rFonts w:eastAsia="標楷體"/>
          <w:b/>
          <w:color w:val="AEAAAA" w:themeColor="background2" w:themeShade="BF"/>
        </w:rPr>
        <w:t>邊界設定格式</w:t>
      </w:r>
    </w:p>
    <w:tbl>
      <w:tblPr>
        <w:tblW w:w="432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00"/>
        <w:gridCol w:w="600"/>
        <w:gridCol w:w="600"/>
        <w:gridCol w:w="600"/>
        <w:gridCol w:w="960"/>
        <w:gridCol w:w="960"/>
      </w:tblGrid>
      <w:tr w:rsidR="007817F6" w:rsidRPr="007817F6" w14:paraId="7C189D31" w14:textId="77777777">
        <w:trPr>
          <w:cantSplit/>
        </w:trPr>
        <w:tc>
          <w:tcPr>
            <w:tcW w:w="2400" w:type="dxa"/>
            <w:gridSpan w:val="4"/>
          </w:tcPr>
          <w:p w14:paraId="5A2419E1"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邊界留白</w:t>
            </w:r>
            <w:r w:rsidRPr="007817F6">
              <w:rPr>
                <w:color w:val="AEAAAA" w:themeColor="background2" w:themeShade="BF"/>
              </w:rPr>
              <w:t>(cm)</w:t>
            </w:r>
          </w:p>
        </w:tc>
        <w:tc>
          <w:tcPr>
            <w:tcW w:w="960" w:type="dxa"/>
            <w:vMerge w:val="restart"/>
            <w:vAlign w:val="center"/>
          </w:tcPr>
          <w:p w14:paraId="3601B27E"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欄寬</w:t>
            </w:r>
          </w:p>
          <w:p w14:paraId="7A2958DF"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(cm)</w:t>
            </w:r>
          </w:p>
        </w:tc>
        <w:tc>
          <w:tcPr>
            <w:tcW w:w="960" w:type="dxa"/>
            <w:vMerge w:val="restart"/>
            <w:vAlign w:val="center"/>
          </w:tcPr>
          <w:p w14:paraId="1F435FB2"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欄距</w:t>
            </w:r>
          </w:p>
          <w:p w14:paraId="76BAECBA"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(cm)</w:t>
            </w:r>
          </w:p>
        </w:tc>
      </w:tr>
      <w:tr w:rsidR="007817F6" w:rsidRPr="007817F6" w14:paraId="09C0A768" w14:textId="77777777">
        <w:trPr>
          <w:cantSplit/>
        </w:trPr>
        <w:tc>
          <w:tcPr>
            <w:tcW w:w="600" w:type="dxa"/>
          </w:tcPr>
          <w:p w14:paraId="57536A4B"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上</w:t>
            </w:r>
          </w:p>
        </w:tc>
        <w:tc>
          <w:tcPr>
            <w:tcW w:w="600" w:type="dxa"/>
          </w:tcPr>
          <w:p w14:paraId="3621A513"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下</w:t>
            </w:r>
          </w:p>
        </w:tc>
        <w:tc>
          <w:tcPr>
            <w:tcW w:w="600" w:type="dxa"/>
          </w:tcPr>
          <w:p w14:paraId="43C69DF9"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左</w:t>
            </w:r>
          </w:p>
        </w:tc>
        <w:tc>
          <w:tcPr>
            <w:tcW w:w="600" w:type="dxa"/>
          </w:tcPr>
          <w:p w14:paraId="35A72BA8"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右</w:t>
            </w:r>
          </w:p>
        </w:tc>
        <w:tc>
          <w:tcPr>
            <w:tcW w:w="960" w:type="dxa"/>
            <w:vMerge/>
          </w:tcPr>
          <w:p w14:paraId="69428978" w14:textId="77777777" w:rsidR="001B127F" w:rsidRPr="007817F6" w:rsidRDefault="001B127F">
            <w:pPr>
              <w:pStyle w:val="a5"/>
              <w:snapToGrid w:val="0"/>
              <w:ind w:firstLine="0"/>
              <w:jc w:val="center"/>
              <w:rPr>
                <w:color w:val="AEAAAA" w:themeColor="background2" w:themeShade="BF"/>
              </w:rPr>
            </w:pPr>
          </w:p>
        </w:tc>
        <w:tc>
          <w:tcPr>
            <w:tcW w:w="960" w:type="dxa"/>
            <w:vMerge/>
          </w:tcPr>
          <w:p w14:paraId="38A0BEB3" w14:textId="77777777" w:rsidR="001B127F" w:rsidRPr="007817F6" w:rsidRDefault="001B127F">
            <w:pPr>
              <w:pStyle w:val="a5"/>
              <w:snapToGrid w:val="0"/>
              <w:ind w:firstLine="0"/>
              <w:jc w:val="center"/>
              <w:rPr>
                <w:color w:val="AEAAAA" w:themeColor="background2" w:themeShade="BF"/>
              </w:rPr>
            </w:pPr>
          </w:p>
        </w:tc>
      </w:tr>
      <w:tr w:rsidR="001B127F" w:rsidRPr="007817F6" w14:paraId="1B1FD62A" w14:textId="77777777">
        <w:trPr>
          <w:cantSplit/>
          <w:trHeight w:val="460"/>
        </w:trPr>
        <w:tc>
          <w:tcPr>
            <w:tcW w:w="600" w:type="dxa"/>
            <w:vAlign w:val="center"/>
          </w:tcPr>
          <w:p w14:paraId="3EE2F41C"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2.5</w:t>
            </w:r>
          </w:p>
        </w:tc>
        <w:tc>
          <w:tcPr>
            <w:tcW w:w="600" w:type="dxa"/>
            <w:vAlign w:val="center"/>
          </w:tcPr>
          <w:p w14:paraId="23BB99E9"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2.5</w:t>
            </w:r>
          </w:p>
        </w:tc>
        <w:tc>
          <w:tcPr>
            <w:tcW w:w="600" w:type="dxa"/>
            <w:vAlign w:val="center"/>
          </w:tcPr>
          <w:p w14:paraId="6F0C3AE9"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2.5</w:t>
            </w:r>
          </w:p>
        </w:tc>
        <w:tc>
          <w:tcPr>
            <w:tcW w:w="600" w:type="dxa"/>
            <w:vAlign w:val="center"/>
          </w:tcPr>
          <w:p w14:paraId="433CF07C"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2.5</w:t>
            </w:r>
          </w:p>
        </w:tc>
        <w:tc>
          <w:tcPr>
            <w:tcW w:w="960" w:type="dxa"/>
            <w:vAlign w:val="center"/>
          </w:tcPr>
          <w:p w14:paraId="13E297FF"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7.75</w:t>
            </w:r>
          </w:p>
        </w:tc>
        <w:tc>
          <w:tcPr>
            <w:tcW w:w="960" w:type="dxa"/>
            <w:tcBorders>
              <w:bottom w:val="single" w:sz="4" w:space="0" w:color="auto"/>
            </w:tcBorders>
            <w:vAlign w:val="center"/>
          </w:tcPr>
          <w:p w14:paraId="76EDC808" w14:textId="77777777" w:rsidR="001B127F" w:rsidRPr="007817F6" w:rsidRDefault="001B127F">
            <w:pPr>
              <w:pStyle w:val="a5"/>
              <w:snapToGrid w:val="0"/>
              <w:ind w:firstLine="0"/>
              <w:jc w:val="center"/>
              <w:rPr>
                <w:color w:val="AEAAAA" w:themeColor="background2" w:themeShade="BF"/>
              </w:rPr>
            </w:pPr>
            <w:r w:rsidRPr="007817F6">
              <w:rPr>
                <w:color w:val="AEAAAA" w:themeColor="background2" w:themeShade="BF"/>
              </w:rPr>
              <w:t>0.5</w:t>
            </w:r>
          </w:p>
        </w:tc>
      </w:tr>
    </w:tbl>
    <w:p w14:paraId="2F67DB75" w14:textId="77777777" w:rsidR="001B127F" w:rsidRPr="007817F6" w:rsidRDefault="001B127F">
      <w:pPr>
        <w:snapToGrid w:val="0"/>
        <w:ind w:firstLine="432"/>
        <w:rPr>
          <w:rFonts w:eastAsia="標楷體"/>
          <w:color w:val="AEAAAA" w:themeColor="background2" w:themeShade="BF"/>
        </w:rPr>
      </w:pPr>
    </w:p>
    <w:p w14:paraId="3E5AD4F2" w14:textId="77777777" w:rsidR="001B127F" w:rsidRPr="007817F6" w:rsidRDefault="00FB5622">
      <w:pPr>
        <w:snapToGrid w:val="0"/>
        <w:rPr>
          <w:rFonts w:eastAsia="標楷體"/>
          <w:b/>
          <w:color w:val="AEAAAA" w:themeColor="background2" w:themeShade="BF"/>
        </w:rPr>
      </w:pPr>
      <w:r w:rsidRPr="007817F6">
        <w:rPr>
          <w:rFonts w:eastAsia="標楷體" w:hint="eastAsia"/>
          <w:b/>
          <w:color w:val="AEAAAA" w:themeColor="background2" w:themeShade="BF"/>
        </w:rPr>
        <w:t>誌</w:t>
      </w:r>
      <w:r w:rsidR="001B127F" w:rsidRPr="007817F6">
        <w:rPr>
          <w:rFonts w:eastAsia="標楷體" w:hint="eastAsia"/>
          <w:b/>
          <w:color w:val="AEAAAA" w:themeColor="background2" w:themeShade="BF"/>
        </w:rPr>
        <w:t>謝</w:t>
      </w:r>
    </w:p>
    <w:p w14:paraId="3DA81FA8" w14:textId="77777777" w:rsidR="001B127F" w:rsidRPr="007817F6" w:rsidRDefault="002B2ABB" w:rsidP="00CC4517">
      <w:pPr>
        <w:snapToGrid w:val="0"/>
        <w:ind w:firstLineChars="180" w:firstLine="360"/>
        <w:rPr>
          <w:rFonts w:eastAsia="標楷體"/>
          <w:color w:val="AEAAAA" w:themeColor="background2" w:themeShade="BF"/>
          <w:sz w:val="20"/>
          <w:szCs w:val="20"/>
        </w:rPr>
      </w:pPr>
      <w:r w:rsidRPr="007817F6">
        <w:rPr>
          <w:rFonts w:eastAsia="標楷體" w:hint="eastAsia"/>
          <w:color w:val="AEAAAA" w:themeColor="background2" w:themeShade="BF"/>
          <w:sz w:val="20"/>
          <w:szCs w:val="20"/>
        </w:rPr>
        <w:t>論文若為科技部</w:t>
      </w:r>
      <w:r w:rsidR="001B127F" w:rsidRPr="007817F6">
        <w:rPr>
          <w:rFonts w:eastAsia="標楷體" w:hint="eastAsia"/>
          <w:color w:val="AEAAAA" w:themeColor="background2" w:themeShade="BF"/>
          <w:sz w:val="20"/>
          <w:szCs w:val="20"/>
        </w:rPr>
        <w:t>計畫之相關成果，請務必在論文之致謝中註明</w:t>
      </w:r>
      <w:r w:rsidRPr="007817F6">
        <w:rPr>
          <w:rFonts w:eastAsia="標楷體" w:hint="eastAsia"/>
          <w:color w:val="AEAAAA" w:themeColor="background2" w:themeShade="BF"/>
          <w:sz w:val="20"/>
          <w:szCs w:val="20"/>
        </w:rPr>
        <w:t>科技部</w:t>
      </w:r>
      <w:r w:rsidR="001B127F" w:rsidRPr="007817F6">
        <w:rPr>
          <w:rFonts w:eastAsia="標楷體" w:hint="eastAsia"/>
          <w:color w:val="AEAAAA" w:themeColor="background2" w:themeShade="BF"/>
          <w:sz w:val="20"/>
          <w:szCs w:val="20"/>
        </w:rPr>
        <w:t>計畫編號。</w:t>
      </w:r>
    </w:p>
    <w:p w14:paraId="440DF578" w14:textId="77777777" w:rsidR="001B127F" w:rsidRPr="00201356" w:rsidRDefault="001B127F">
      <w:pPr>
        <w:snapToGrid w:val="0"/>
        <w:rPr>
          <w:rFonts w:eastAsia="標楷體"/>
          <w:b/>
        </w:rPr>
      </w:pPr>
      <w:r w:rsidRPr="00201356">
        <w:rPr>
          <w:rFonts w:eastAsia="標楷體"/>
          <w:b/>
        </w:rPr>
        <w:t>參考文獻</w:t>
      </w:r>
    </w:p>
    <w:p w14:paraId="373840BB" w14:textId="2B2E3269"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Organization, W.H., Assessing the iron status of populations</w:t>
      </w:r>
      <w:r w:rsidRPr="0099586A">
        <w:rPr>
          <w:rFonts w:eastAsia="標楷體" w:hint="eastAsia"/>
          <w:sz w:val="20"/>
          <w:szCs w:val="20"/>
        </w:rPr>
        <w:t>：</w:t>
      </w:r>
      <w:r w:rsidRPr="0099586A">
        <w:rPr>
          <w:rFonts w:eastAsia="標楷體" w:hint="eastAsia"/>
          <w:sz w:val="20"/>
          <w:szCs w:val="20"/>
        </w:rPr>
        <w:t xml:space="preserve"> report of a Joint World Health Organization/Centers for Disease Control and Prevention Technical Consultation on the Assessment of Iron Status at the Population Level, Geneva, Switzerland, 6-8 April 2004, in Assessing the iron status of populations</w:t>
      </w:r>
      <w:r w:rsidRPr="0099586A">
        <w:rPr>
          <w:rFonts w:eastAsia="標楷體" w:hint="eastAsia"/>
          <w:sz w:val="20"/>
          <w:szCs w:val="20"/>
        </w:rPr>
        <w:t>：</w:t>
      </w:r>
      <w:r w:rsidRPr="0099586A">
        <w:rPr>
          <w:rFonts w:eastAsia="標楷體" w:hint="eastAsia"/>
          <w:sz w:val="20"/>
          <w:szCs w:val="20"/>
        </w:rPr>
        <w:t xml:space="preserve"> report of a Joint World Health Organization/Centers for Disease Control and Prevention Technical Consultation on the Assessment of Iron Status at the Population Level, Geneva, Switzerland, 6-8 April 2</w:t>
      </w:r>
      <w:r w:rsidRPr="0099586A">
        <w:rPr>
          <w:rFonts w:eastAsia="標楷體"/>
          <w:sz w:val="20"/>
          <w:szCs w:val="20"/>
        </w:rPr>
        <w:t xml:space="preserve">004. 2005. </w:t>
      </w:r>
    </w:p>
    <w:p w14:paraId="04181C8E"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 Organization, W.H., </w:t>
      </w:r>
      <w:proofErr w:type="gramStart"/>
      <w:r w:rsidRPr="0099586A">
        <w:rPr>
          <w:rFonts w:eastAsia="標楷體" w:hint="eastAsia"/>
          <w:sz w:val="20"/>
          <w:szCs w:val="20"/>
        </w:rPr>
        <w:t>The</w:t>
      </w:r>
      <w:proofErr w:type="gramEnd"/>
      <w:r w:rsidRPr="0099586A">
        <w:rPr>
          <w:rFonts w:eastAsia="標楷體" w:hint="eastAsia"/>
          <w:sz w:val="20"/>
          <w:szCs w:val="20"/>
        </w:rPr>
        <w:t xml:space="preserve"> world health report 2002</w:t>
      </w:r>
      <w:r w:rsidRPr="0099586A">
        <w:rPr>
          <w:rFonts w:eastAsia="標楷體" w:hint="eastAsia"/>
          <w:sz w:val="20"/>
          <w:szCs w:val="20"/>
        </w:rPr>
        <w:t>：</w:t>
      </w:r>
      <w:r w:rsidRPr="0099586A">
        <w:rPr>
          <w:rFonts w:eastAsia="標楷體" w:hint="eastAsia"/>
          <w:sz w:val="20"/>
          <w:szCs w:val="20"/>
        </w:rPr>
        <w:t xml:space="preserve"> reducing risks, promoting healthy life. 2002</w:t>
      </w:r>
      <w:r w:rsidRPr="0099586A">
        <w:rPr>
          <w:rFonts w:eastAsia="標楷體" w:hint="eastAsia"/>
          <w:sz w:val="20"/>
          <w:szCs w:val="20"/>
        </w:rPr>
        <w:t>：</w:t>
      </w:r>
      <w:r w:rsidRPr="0099586A">
        <w:rPr>
          <w:rFonts w:eastAsia="標楷體" w:hint="eastAsia"/>
          <w:sz w:val="20"/>
          <w:szCs w:val="20"/>
        </w:rPr>
        <w:t xml:space="preserve"> World Health Organization.</w:t>
      </w:r>
    </w:p>
    <w:p w14:paraId="2C0C262A"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Aggarwal, A.K., et al., Validity of Palmar Pallor for Diagnosis of Anemia among Children Aged 6-59 Months in North India. Anemia, 2014. p. 543860-543860.</w:t>
      </w:r>
    </w:p>
    <w:p w14:paraId="6920E409"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Tsumura, N., et al., Image-based skin color and texture analysis/synthesis by extracting hemoglobin and melanin information in the skin, in ACM SIGGRAPH 2003 Papers. 2003. p. 770-779.</w:t>
      </w:r>
    </w:p>
    <w:p w14:paraId="2DD911C0"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Angelopoulou, E. Understanding the color of human skin. in Human vision and electronic imaging VI. 2001. International Society for Optics and Photonics</w:t>
      </w:r>
    </w:p>
    <w:p w14:paraId="7B8ABC7A"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Spinelli, M.G.N., et al., Reliability and validity of palmar and conjunctival pallor for anemia detection purposes. </w:t>
      </w:r>
      <w:proofErr w:type="spellStart"/>
      <w:r w:rsidRPr="0099586A">
        <w:rPr>
          <w:rFonts w:eastAsia="標楷體" w:hint="eastAsia"/>
          <w:sz w:val="20"/>
          <w:szCs w:val="20"/>
        </w:rPr>
        <w:t>Revista</w:t>
      </w:r>
      <w:proofErr w:type="spellEnd"/>
      <w:r w:rsidRPr="0099586A">
        <w:rPr>
          <w:rFonts w:eastAsia="標楷體" w:hint="eastAsia"/>
          <w:sz w:val="20"/>
          <w:szCs w:val="20"/>
        </w:rPr>
        <w:t xml:space="preserve"> de </w:t>
      </w:r>
      <w:proofErr w:type="spellStart"/>
      <w:r w:rsidRPr="0099586A">
        <w:rPr>
          <w:rFonts w:eastAsia="標楷體" w:hint="eastAsia"/>
          <w:sz w:val="20"/>
          <w:szCs w:val="20"/>
        </w:rPr>
        <w:t>saude</w:t>
      </w:r>
      <w:proofErr w:type="spellEnd"/>
      <w:r w:rsidRPr="0099586A">
        <w:rPr>
          <w:rFonts w:eastAsia="標楷體" w:hint="eastAsia"/>
          <w:sz w:val="20"/>
          <w:szCs w:val="20"/>
        </w:rPr>
        <w:t xml:space="preserve"> publica, 2003. 37(4)</w:t>
      </w:r>
      <w:r w:rsidRPr="0099586A">
        <w:rPr>
          <w:rFonts w:eastAsia="標楷體" w:hint="eastAsia"/>
          <w:sz w:val="20"/>
          <w:szCs w:val="20"/>
        </w:rPr>
        <w:t>：</w:t>
      </w:r>
      <w:r w:rsidRPr="0099586A">
        <w:rPr>
          <w:rFonts w:eastAsia="標楷體" w:hint="eastAsia"/>
          <w:sz w:val="20"/>
          <w:szCs w:val="20"/>
        </w:rPr>
        <w:t xml:space="preserve"> p. 404-408.</w:t>
      </w:r>
    </w:p>
    <w:p w14:paraId="146D8A56"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lastRenderedPageBreak/>
        <w:t>Sheth, T.N., et al., The relation of conjunctival pallor to the presence of anemia. Journal of general internal medicine, 1997. 12(2)</w:t>
      </w:r>
      <w:r w:rsidRPr="0099586A">
        <w:rPr>
          <w:rFonts w:eastAsia="標楷體" w:hint="eastAsia"/>
          <w:sz w:val="20"/>
          <w:szCs w:val="20"/>
        </w:rPr>
        <w:t>：</w:t>
      </w:r>
      <w:r w:rsidRPr="0099586A">
        <w:rPr>
          <w:rFonts w:eastAsia="標楷體" w:hint="eastAsia"/>
          <w:sz w:val="20"/>
          <w:szCs w:val="20"/>
        </w:rPr>
        <w:t xml:space="preserve"> p. 102-106.</w:t>
      </w:r>
    </w:p>
    <w:p w14:paraId="4960BC04"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Silva, </w:t>
      </w:r>
      <w:proofErr w:type="spellStart"/>
      <w:r w:rsidRPr="0099586A">
        <w:rPr>
          <w:rFonts w:eastAsia="標楷體" w:hint="eastAsia"/>
          <w:sz w:val="20"/>
          <w:szCs w:val="20"/>
        </w:rPr>
        <w:t>R.M.d</w:t>
      </w:r>
      <w:proofErr w:type="spellEnd"/>
      <w:r w:rsidRPr="0099586A">
        <w:rPr>
          <w:rFonts w:eastAsia="標楷體" w:hint="eastAsia"/>
          <w:sz w:val="20"/>
          <w:szCs w:val="20"/>
        </w:rPr>
        <w:t>. and C.A. Machado, Clinical evaluation of the paleness</w:t>
      </w:r>
      <w:r w:rsidRPr="0099586A">
        <w:rPr>
          <w:rFonts w:eastAsia="標楷體" w:hint="eastAsia"/>
          <w:sz w:val="20"/>
          <w:szCs w:val="20"/>
        </w:rPr>
        <w:t>：</w:t>
      </w:r>
      <w:r w:rsidRPr="0099586A">
        <w:rPr>
          <w:rFonts w:eastAsia="標楷體" w:hint="eastAsia"/>
          <w:sz w:val="20"/>
          <w:szCs w:val="20"/>
        </w:rPr>
        <w:t xml:space="preserve"> Agreement between observers and comparison with hemoglobin levels. </w:t>
      </w:r>
      <w:proofErr w:type="spellStart"/>
      <w:r w:rsidRPr="0099586A">
        <w:rPr>
          <w:rFonts w:eastAsia="標楷體" w:hint="eastAsia"/>
          <w:sz w:val="20"/>
          <w:szCs w:val="20"/>
        </w:rPr>
        <w:t>Revista</w:t>
      </w:r>
      <w:proofErr w:type="spellEnd"/>
      <w:r w:rsidRPr="0099586A">
        <w:rPr>
          <w:rFonts w:eastAsia="標楷體" w:hint="eastAsia"/>
          <w:sz w:val="20"/>
          <w:szCs w:val="20"/>
        </w:rPr>
        <w:t xml:space="preserve"> Brasileira de </w:t>
      </w:r>
      <w:proofErr w:type="spellStart"/>
      <w:r w:rsidRPr="0099586A">
        <w:rPr>
          <w:rFonts w:eastAsia="標楷體" w:hint="eastAsia"/>
          <w:sz w:val="20"/>
          <w:szCs w:val="20"/>
        </w:rPr>
        <w:t>Hematologia</w:t>
      </w:r>
      <w:proofErr w:type="spellEnd"/>
      <w:r w:rsidRPr="0099586A">
        <w:rPr>
          <w:rFonts w:eastAsia="標楷體" w:hint="eastAsia"/>
          <w:sz w:val="20"/>
          <w:szCs w:val="20"/>
        </w:rPr>
        <w:t>, 2010. 32</w:t>
      </w:r>
      <w:r w:rsidRPr="0099586A">
        <w:rPr>
          <w:rFonts w:eastAsia="標楷體" w:hint="eastAsia"/>
          <w:sz w:val="20"/>
          <w:szCs w:val="20"/>
        </w:rPr>
        <w:t>：</w:t>
      </w:r>
      <w:r w:rsidRPr="0099586A">
        <w:rPr>
          <w:rFonts w:eastAsia="標楷體" w:hint="eastAsia"/>
          <w:sz w:val="20"/>
          <w:szCs w:val="20"/>
        </w:rPr>
        <w:t xml:space="preserve"> p. 444-448.</w:t>
      </w:r>
    </w:p>
    <w:p w14:paraId="1F19B6D4"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Schwarzenbach, H.R., [Jaundice and pathological liver values]. Praxis (Bern 1994), 2013. 102(12)</w:t>
      </w:r>
      <w:r w:rsidRPr="0099586A">
        <w:rPr>
          <w:rFonts w:eastAsia="標楷體" w:hint="eastAsia"/>
          <w:sz w:val="20"/>
          <w:szCs w:val="20"/>
        </w:rPr>
        <w:t>：</w:t>
      </w:r>
      <w:r w:rsidRPr="0099586A">
        <w:rPr>
          <w:rFonts w:eastAsia="標楷體" w:hint="eastAsia"/>
          <w:sz w:val="20"/>
          <w:szCs w:val="20"/>
        </w:rPr>
        <w:t xml:space="preserve"> p. 727-9.</w:t>
      </w:r>
    </w:p>
    <w:p w14:paraId="3887A088"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Reisman, Y., et al., Clinical presentation of (subclinical) jaundice--the </w:t>
      </w:r>
      <w:proofErr w:type="spellStart"/>
      <w:r w:rsidRPr="0099586A">
        <w:rPr>
          <w:rFonts w:eastAsia="標楷體" w:hint="eastAsia"/>
          <w:sz w:val="20"/>
          <w:szCs w:val="20"/>
        </w:rPr>
        <w:t>Euricterus</w:t>
      </w:r>
      <w:proofErr w:type="spellEnd"/>
      <w:r w:rsidRPr="0099586A">
        <w:rPr>
          <w:rFonts w:eastAsia="標楷體" w:hint="eastAsia"/>
          <w:sz w:val="20"/>
          <w:szCs w:val="20"/>
        </w:rPr>
        <w:t xml:space="preserve"> project in The Netherlands. United Dutch Hospitals and </w:t>
      </w:r>
      <w:proofErr w:type="spellStart"/>
      <w:r w:rsidRPr="0099586A">
        <w:rPr>
          <w:rFonts w:eastAsia="標楷體" w:hint="eastAsia"/>
          <w:sz w:val="20"/>
          <w:szCs w:val="20"/>
        </w:rPr>
        <w:t>Euricterus</w:t>
      </w:r>
      <w:proofErr w:type="spellEnd"/>
      <w:r w:rsidRPr="0099586A">
        <w:rPr>
          <w:rFonts w:eastAsia="標楷體" w:hint="eastAsia"/>
          <w:sz w:val="20"/>
          <w:szCs w:val="20"/>
        </w:rPr>
        <w:t xml:space="preserve"> Project Management Group. </w:t>
      </w:r>
      <w:proofErr w:type="spellStart"/>
      <w:r w:rsidRPr="0099586A">
        <w:rPr>
          <w:rFonts w:eastAsia="標楷體" w:hint="eastAsia"/>
          <w:sz w:val="20"/>
          <w:szCs w:val="20"/>
        </w:rPr>
        <w:t>Hepatogastroenterology</w:t>
      </w:r>
      <w:proofErr w:type="spellEnd"/>
      <w:r w:rsidRPr="0099586A">
        <w:rPr>
          <w:rFonts w:eastAsia="標楷體" w:hint="eastAsia"/>
          <w:sz w:val="20"/>
          <w:szCs w:val="20"/>
        </w:rPr>
        <w:t>, 1996. 43(11)</w:t>
      </w:r>
      <w:r w:rsidRPr="0099586A">
        <w:rPr>
          <w:rFonts w:eastAsia="標楷體" w:hint="eastAsia"/>
          <w:sz w:val="20"/>
          <w:szCs w:val="20"/>
        </w:rPr>
        <w:t>：</w:t>
      </w:r>
      <w:r w:rsidRPr="0099586A">
        <w:rPr>
          <w:rFonts w:eastAsia="標楷體" w:hint="eastAsia"/>
          <w:sz w:val="20"/>
          <w:szCs w:val="20"/>
        </w:rPr>
        <w:t xml:space="preserve"> p. 1190-5.</w:t>
      </w:r>
    </w:p>
    <w:p w14:paraId="4626601E"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Tang, C.-P., et al., Cholestatic Jaundice as the Predominant Presentation in a Patient with Autoimmune Hepatitis. Journal of the Chinese Medical Association, 2008. 71(1)</w:t>
      </w:r>
      <w:r w:rsidRPr="0099586A">
        <w:rPr>
          <w:rFonts w:eastAsia="標楷體" w:hint="eastAsia"/>
          <w:sz w:val="20"/>
          <w:szCs w:val="20"/>
        </w:rPr>
        <w:t>：</w:t>
      </w:r>
      <w:r w:rsidRPr="0099586A">
        <w:rPr>
          <w:rFonts w:eastAsia="標楷體" w:hint="eastAsia"/>
          <w:sz w:val="20"/>
          <w:szCs w:val="20"/>
        </w:rPr>
        <w:t xml:space="preserve"> p. 45-48.</w:t>
      </w:r>
    </w:p>
    <w:p w14:paraId="49422927"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Bush, A., B. Sadowski, and D. Torres, Jaundice in a Service member Returning </w:t>
      </w:r>
      <w:proofErr w:type="gramStart"/>
      <w:r w:rsidRPr="0099586A">
        <w:rPr>
          <w:rFonts w:eastAsia="標楷體" w:hint="eastAsia"/>
          <w:sz w:val="20"/>
          <w:szCs w:val="20"/>
        </w:rPr>
        <w:t>From</w:t>
      </w:r>
      <w:proofErr w:type="gramEnd"/>
      <w:r w:rsidRPr="0099586A">
        <w:rPr>
          <w:rFonts w:eastAsia="標楷體" w:hint="eastAsia"/>
          <w:sz w:val="20"/>
          <w:szCs w:val="20"/>
        </w:rPr>
        <w:t xml:space="preserve"> Taiwan; Diagnostic Challenges in a Case of Acute Hepatitis E. Military Medicine, 2018. 184(5-6)</w:t>
      </w:r>
      <w:r w:rsidRPr="0099586A">
        <w:rPr>
          <w:rFonts w:eastAsia="標楷體" w:hint="eastAsia"/>
          <w:sz w:val="20"/>
          <w:szCs w:val="20"/>
        </w:rPr>
        <w:t>：</w:t>
      </w:r>
      <w:r w:rsidRPr="0099586A">
        <w:rPr>
          <w:rFonts w:eastAsia="標楷體" w:hint="eastAsia"/>
          <w:sz w:val="20"/>
          <w:szCs w:val="20"/>
        </w:rPr>
        <w:t xml:space="preserve"> p. e480-e482.</w:t>
      </w:r>
    </w:p>
    <w:p w14:paraId="0A31973C"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Roche, S.P. and R. Kobos, Jaundice in the adult patient. Am Fam Physician, 2004. 69(2)</w:t>
      </w:r>
      <w:r w:rsidRPr="0099586A">
        <w:rPr>
          <w:rFonts w:eastAsia="標楷體" w:hint="eastAsia"/>
          <w:sz w:val="20"/>
          <w:szCs w:val="20"/>
        </w:rPr>
        <w:t>：</w:t>
      </w:r>
      <w:r w:rsidRPr="0099586A">
        <w:rPr>
          <w:rFonts w:eastAsia="標楷體" w:hint="eastAsia"/>
          <w:sz w:val="20"/>
          <w:szCs w:val="20"/>
        </w:rPr>
        <w:t xml:space="preserve"> p. 299-304.</w:t>
      </w:r>
    </w:p>
    <w:p w14:paraId="2B839903"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Leung, T.S., et al., Jaundice Eye Color Index (JECI)</w:t>
      </w:r>
      <w:r w:rsidRPr="0099586A">
        <w:rPr>
          <w:rFonts w:eastAsia="標楷體" w:hint="eastAsia"/>
          <w:sz w:val="20"/>
          <w:szCs w:val="20"/>
        </w:rPr>
        <w:t>：</w:t>
      </w:r>
      <w:r w:rsidRPr="0099586A">
        <w:rPr>
          <w:rFonts w:eastAsia="標楷體" w:hint="eastAsia"/>
          <w:sz w:val="20"/>
          <w:szCs w:val="20"/>
        </w:rPr>
        <w:t xml:space="preserve"> quantifying the yellowness of the sclera in jaundiced neonates with digital photography. Biomed </w:t>
      </w:r>
      <w:proofErr w:type="spellStart"/>
      <w:r w:rsidRPr="0099586A">
        <w:rPr>
          <w:rFonts w:eastAsia="標楷體" w:hint="eastAsia"/>
          <w:sz w:val="20"/>
          <w:szCs w:val="20"/>
        </w:rPr>
        <w:t>Opt</w:t>
      </w:r>
      <w:proofErr w:type="spellEnd"/>
      <w:r w:rsidRPr="0099586A">
        <w:rPr>
          <w:rFonts w:eastAsia="標楷體" w:hint="eastAsia"/>
          <w:sz w:val="20"/>
          <w:szCs w:val="20"/>
        </w:rPr>
        <w:t xml:space="preserve"> Express, 2019. 10(3)</w:t>
      </w:r>
      <w:r w:rsidRPr="0099586A">
        <w:rPr>
          <w:rFonts w:eastAsia="標楷體" w:hint="eastAsia"/>
          <w:sz w:val="20"/>
          <w:szCs w:val="20"/>
        </w:rPr>
        <w:t>：</w:t>
      </w:r>
      <w:r w:rsidRPr="0099586A">
        <w:rPr>
          <w:rFonts w:eastAsia="標楷體" w:hint="eastAsia"/>
          <w:sz w:val="20"/>
          <w:szCs w:val="20"/>
        </w:rPr>
        <w:t xml:space="preserve"> p. 1250-1256.</w:t>
      </w:r>
    </w:p>
    <w:p w14:paraId="7291D51D"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Jia-Wei Li, Adult Jaundice Detection by Deep Convolutional Neural Network, 2021, Available </w:t>
      </w:r>
      <w:r w:rsidRPr="0099586A">
        <w:rPr>
          <w:rFonts w:eastAsia="標楷體" w:hint="eastAsia"/>
          <w:sz w:val="20"/>
          <w:szCs w:val="20"/>
        </w:rPr>
        <w:t>：</w:t>
      </w:r>
      <w:r w:rsidRPr="0099586A">
        <w:rPr>
          <w:rFonts w:eastAsia="標楷體" w:hint="eastAsia"/>
          <w:sz w:val="20"/>
          <w:szCs w:val="20"/>
        </w:rPr>
        <w:t xml:space="preserve"> https</w:t>
      </w:r>
      <w:r w:rsidRPr="0099586A">
        <w:rPr>
          <w:rFonts w:eastAsia="標楷體" w:hint="eastAsia"/>
          <w:sz w:val="20"/>
          <w:szCs w:val="20"/>
        </w:rPr>
        <w:t>：</w:t>
      </w:r>
      <w:r w:rsidRPr="0099586A">
        <w:rPr>
          <w:rFonts w:eastAsia="標楷體" w:hint="eastAsia"/>
          <w:sz w:val="20"/>
          <w:szCs w:val="20"/>
        </w:rPr>
        <w:t>//hdl.handle.net/11296/h29h8v</w:t>
      </w:r>
    </w:p>
    <w:p w14:paraId="5FA9AF3F" w14:textId="77777777" w:rsidR="0099586A" w:rsidRPr="0099586A" w:rsidRDefault="0099586A" w:rsidP="0099586A">
      <w:pPr>
        <w:numPr>
          <w:ilvl w:val="0"/>
          <w:numId w:val="7"/>
        </w:numPr>
        <w:snapToGrid w:val="0"/>
        <w:spacing w:after="60"/>
        <w:jc w:val="both"/>
        <w:rPr>
          <w:rFonts w:eastAsia="標楷體"/>
          <w:sz w:val="20"/>
          <w:szCs w:val="20"/>
        </w:rPr>
      </w:pPr>
      <w:proofErr w:type="spellStart"/>
      <w:r w:rsidRPr="0099586A">
        <w:rPr>
          <w:rFonts w:eastAsia="標楷體" w:hint="eastAsia"/>
          <w:sz w:val="20"/>
          <w:szCs w:val="20"/>
        </w:rPr>
        <w:t>HemaApp</w:t>
      </w:r>
      <w:proofErr w:type="spellEnd"/>
      <w:r w:rsidRPr="0099586A">
        <w:rPr>
          <w:rFonts w:eastAsia="標楷體" w:hint="eastAsia"/>
          <w:sz w:val="20"/>
          <w:szCs w:val="20"/>
        </w:rPr>
        <w:t xml:space="preserve">: screens for anemia, blood conditions without needle sticks. September 2016. </w:t>
      </w:r>
      <w:r w:rsidRPr="0099586A">
        <w:rPr>
          <w:rFonts w:eastAsia="標楷體" w:hint="eastAsia"/>
          <w:sz w:val="20"/>
          <w:szCs w:val="20"/>
        </w:rPr>
        <w:t>”</w:t>
      </w:r>
      <w:r w:rsidRPr="0099586A">
        <w:rPr>
          <w:rFonts w:eastAsia="標楷體" w:hint="eastAsia"/>
          <w:sz w:val="20"/>
          <w:szCs w:val="20"/>
        </w:rPr>
        <w:t xml:space="preserve"> [Online] Available</w:t>
      </w:r>
      <w:r w:rsidRPr="0099586A">
        <w:rPr>
          <w:rFonts w:eastAsia="標楷體" w:hint="eastAsia"/>
          <w:sz w:val="20"/>
          <w:szCs w:val="20"/>
        </w:rPr>
        <w:t>：</w:t>
      </w:r>
      <w:r w:rsidRPr="0099586A">
        <w:rPr>
          <w:rFonts w:eastAsia="標楷體" w:hint="eastAsia"/>
          <w:sz w:val="20"/>
          <w:szCs w:val="20"/>
        </w:rPr>
        <w:t xml:space="preserve"> https://www.washington.edu/news/2016/09/07/hemaapp-screens-for-anemia-blood-conditions-without-needle-sticks/</w:t>
      </w:r>
    </w:p>
    <w:p w14:paraId="0BB4EB84"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ALEX MARIAKAKIS, </w:t>
      </w:r>
      <w:proofErr w:type="spellStart"/>
      <w:r w:rsidRPr="0099586A">
        <w:rPr>
          <w:rFonts w:eastAsia="標楷體" w:hint="eastAsia"/>
          <w:sz w:val="20"/>
          <w:szCs w:val="20"/>
        </w:rPr>
        <w:t>BiliScreen</w:t>
      </w:r>
      <w:proofErr w:type="spellEnd"/>
      <w:r w:rsidRPr="0099586A">
        <w:rPr>
          <w:rFonts w:eastAsia="標楷體" w:hint="eastAsia"/>
          <w:sz w:val="20"/>
          <w:szCs w:val="20"/>
        </w:rPr>
        <w:t>：</w:t>
      </w:r>
      <w:r w:rsidRPr="0099586A">
        <w:rPr>
          <w:rFonts w:eastAsia="標楷體" w:hint="eastAsia"/>
          <w:sz w:val="20"/>
          <w:szCs w:val="20"/>
        </w:rPr>
        <w:t xml:space="preserve"> Smartphone-Based Scleral Jaundice Monitoring for Liver and Pancreatic Disorders. June 2017</w:t>
      </w:r>
    </w:p>
    <w:p w14:paraId="36BBE272"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Shaun Collings, Non-Invasive Detection of </w:t>
      </w:r>
      <w:proofErr w:type="spellStart"/>
      <w:r w:rsidRPr="0099586A">
        <w:rPr>
          <w:rFonts w:eastAsia="標楷體" w:hint="eastAsia"/>
          <w:sz w:val="20"/>
          <w:szCs w:val="20"/>
        </w:rPr>
        <w:t>Anaemia</w:t>
      </w:r>
      <w:proofErr w:type="spellEnd"/>
      <w:r w:rsidRPr="0099586A">
        <w:rPr>
          <w:rFonts w:eastAsia="標楷體" w:hint="eastAsia"/>
          <w:sz w:val="20"/>
          <w:szCs w:val="20"/>
        </w:rPr>
        <w:t xml:space="preserve"> Using Digital Photographs of the Conjunctiva, Journal of PLOS ONE. April 2016 </w:t>
      </w:r>
      <w:r w:rsidRPr="0099586A">
        <w:rPr>
          <w:rFonts w:eastAsia="標楷體" w:hint="eastAsia"/>
          <w:sz w:val="20"/>
          <w:szCs w:val="20"/>
        </w:rPr>
        <w:t>：</w:t>
      </w:r>
      <w:r w:rsidRPr="0099586A">
        <w:rPr>
          <w:rFonts w:eastAsia="標楷體" w:hint="eastAsia"/>
          <w:sz w:val="20"/>
          <w:szCs w:val="20"/>
        </w:rPr>
        <w:t xml:space="preserve"> p. 5-6.</w:t>
      </w:r>
    </w:p>
    <w:p w14:paraId="60EB11CB"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Young L. Kim, Health spectroscopy of blood hemoglobin with spectral super-</w:t>
      </w:r>
      <w:proofErr w:type="gramStart"/>
      <w:r w:rsidRPr="0099586A">
        <w:rPr>
          <w:rFonts w:eastAsia="標楷體"/>
          <w:sz w:val="20"/>
          <w:szCs w:val="20"/>
        </w:rPr>
        <w:t>resolution ,</w:t>
      </w:r>
      <w:proofErr w:type="gramEnd"/>
      <w:r w:rsidRPr="0099586A">
        <w:rPr>
          <w:rFonts w:eastAsia="標楷體"/>
          <w:sz w:val="20"/>
          <w:szCs w:val="20"/>
        </w:rPr>
        <w:t xml:space="preserve"> Journal of Optica. May 2020</w:t>
      </w:r>
    </w:p>
    <w:p w14:paraId="3516858B"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Mahmoud Afifi, Marcus A. Brubaker, Michael S. Brown, “Auto White-Balance Correction for Mixed-Illuminant Scenes”, Available: https://www.computer.org/csdl/proceedings-</w:t>
      </w:r>
      <w:r w:rsidRPr="0099586A">
        <w:rPr>
          <w:rFonts w:eastAsia="標楷體"/>
          <w:sz w:val="20"/>
          <w:szCs w:val="20"/>
        </w:rPr>
        <w:t>article/wacv/2022/091500a934/1B13tu3YpCo</w:t>
      </w:r>
    </w:p>
    <w:p w14:paraId="3C0DF572"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 xml:space="preserve">Ziyuan Xiao, Yina Han, Susanto </w:t>
      </w:r>
      <w:proofErr w:type="spellStart"/>
      <w:proofErr w:type="gramStart"/>
      <w:r w:rsidRPr="0099586A">
        <w:rPr>
          <w:rFonts w:eastAsia="標楷體"/>
          <w:sz w:val="20"/>
          <w:szCs w:val="20"/>
        </w:rPr>
        <w:t>Rahardja</w:t>
      </w:r>
      <w:proofErr w:type="spellEnd"/>
      <w:r w:rsidRPr="0099586A">
        <w:rPr>
          <w:rFonts w:eastAsia="標楷體"/>
          <w:sz w:val="20"/>
          <w:szCs w:val="20"/>
        </w:rPr>
        <w:t xml:space="preserve">,  </w:t>
      </w:r>
      <w:proofErr w:type="spellStart"/>
      <w:r w:rsidRPr="0099586A">
        <w:rPr>
          <w:rFonts w:eastAsia="標楷體"/>
          <w:sz w:val="20"/>
          <w:szCs w:val="20"/>
        </w:rPr>
        <w:t>Yuanliang</w:t>
      </w:r>
      <w:proofErr w:type="spellEnd"/>
      <w:proofErr w:type="gramEnd"/>
      <w:r w:rsidRPr="0099586A">
        <w:rPr>
          <w:rFonts w:eastAsia="標楷體"/>
          <w:sz w:val="20"/>
          <w:szCs w:val="20"/>
        </w:rPr>
        <w:t xml:space="preserve"> Ma, ” USLN: A statistically guided lightweight network for underwater image enhancement via dual-statistic white balance and multi-color space stretch”, Sep 2022</w:t>
      </w:r>
    </w:p>
    <w:p w14:paraId="7E8DE8FB"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 xml:space="preserve">L.-C. Hsu, S. Hsu, T.-H. Tan, C.-H. Cheng and C.-C. Chang, “Developing low-cost mobile device and Apps for accurate skin spectrum measurement via low-cost spectrum sensors and deep neural network Technology,” Sensors, vol. 22, no. 22, pp. 8844-8857, </w:t>
      </w:r>
      <w:proofErr w:type="gramStart"/>
      <w:r w:rsidRPr="0099586A">
        <w:rPr>
          <w:rFonts w:eastAsia="標楷體"/>
          <w:sz w:val="20"/>
          <w:szCs w:val="20"/>
        </w:rPr>
        <w:t>Nov.,</w:t>
      </w:r>
      <w:proofErr w:type="gramEnd"/>
      <w:r w:rsidRPr="0099586A">
        <w:rPr>
          <w:rFonts w:eastAsia="標楷體"/>
          <w:sz w:val="20"/>
          <w:szCs w:val="20"/>
        </w:rPr>
        <w:t xml:space="preserve"> 2022. (SCI, IF 3.576) [MOST 111-2221-E-027-042]</w:t>
      </w:r>
    </w:p>
    <w:p w14:paraId="252FEBD5"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Robert G. Mannino, Smartphone app for non-invasive detection of anemia using only patient-sourced photos, Journal of Nature Communication. 2018</w:t>
      </w:r>
    </w:p>
    <w:p w14:paraId="3A770D97"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MNIST Image Class. </w:t>
      </w:r>
      <w:proofErr w:type="spellStart"/>
      <w:r w:rsidRPr="0099586A">
        <w:rPr>
          <w:rFonts w:eastAsia="標楷體" w:hint="eastAsia"/>
          <w:sz w:val="20"/>
          <w:szCs w:val="20"/>
        </w:rPr>
        <w:t>Tensorflow</w:t>
      </w:r>
      <w:proofErr w:type="spellEnd"/>
      <w:r w:rsidRPr="0099586A">
        <w:rPr>
          <w:rFonts w:eastAsia="標楷體" w:hint="eastAsia"/>
          <w:sz w:val="20"/>
          <w:szCs w:val="20"/>
        </w:rPr>
        <w:t xml:space="preserve"> CNN 99.51% Test Acc. [Online] Available</w:t>
      </w:r>
      <w:r w:rsidRPr="0099586A">
        <w:rPr>
          <w:rFonts w:eastAsia="標楷體" w:hint="eastAsia"/>
          <w:sz w:val="20"/>
          <w:szCs w:val="20"/>
        </w:rPr>
        <w:t>：</w:t>
      </w:r>
      <w:r w:rsidRPr="0099586A">
        <w:rPr>
          <w:rFonts w:eastAsia="標楷體" w:hint="eastAsia"/>
          <w:sz w:val="20"/>
          <w:szCs w:val="20"/>
        </w:rPr>
        <w:t>https://www.kaggle.com/raoulma/mnist-image-class-tensorflow-cnn-99-51-test-acc [Accessed</w:t>
      </w:r>
      <w:r w:rsidRPr="0099586A">
        <w:rPr>
          <w:rFonts w:eastAsia="標楷體" w:hint="eastAsia"/>
          <w:sz w:val="20"/>
          <w:szCs w:val="20"/>
        </w:rPr>
        <w:t>：</w:t>
      </w:r>
      <w:r w:rsidRPr="0099586A">
        <w:rPr>
          <w:rFonts w:eastAsia="標楷體" w:hint="eastAsia"/>
          <w:sz w:val="20"/>
          <w:szCs w:val="20"/>
        </w:rPr>
        <w:t xml:space="preserve"> Dec. 4, 2019]</w:t>
      </w:r>
    </w:p>
    <w:p w14:paraId="04513113"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hint="eastAsia"/>
          <w:sz w:val="20"/>
          <w:szCs w:val="20"/>
        </w:rPr>
        <w:t xml:space="preserve"> </w:t>
      </w:r>
      <w:r w:rsidRPr="0099586A">
        <w:rPr>
          <w:rFonts w:eastAsia="標楷體" w:hint="eastAsia"/>
          <w:sz w:val="20"/>
          <w:szCs w:val="20"/>
        </w:rPr>
        <w:t>“語音識別技術簡史”</w:t>
      </w:r>
      <w:r w:rsidRPr="0099586A">
        <w:rPr>
          <w:rFonts w:eastAsia="標楷體" w:hint="eastAsia"/>
          <w:sz w:val="20"/>
          <w:szCs w:val="20"/>
        </w:rPr>
        <w:t xml:space="preserve"> [Online] Available</w:t>
      </w:r>
      <w:r w:rsidRPr="0099586A">
        <w:rPr>
          <w:rFonts w:eastAsia="標楷體" w:hint="eastAsia"/>
          <w:sz w:val="20"/>
          <w:szCs w:val="20"/>
        </w:rPr>
        <w:t>：</w:t>
      </w:r>
      <w:r w:rsidRPr="0099586A">
        <w:rPr>
          <w:rFonts w:eastAsia="標楷體" w:hint="eastAsia"/>
          <w:sz w:val="20"/>
          <w:szCs w:val="20"/>
        </w:rPr>
        <w:t xml:space="preserve"> https</w:t>
      </w:r>
      <w:r w:rsidRPr="0099586A">
        <w:rPr>
          <w:rFonts w:eastAsia="標楷體" w:hint="eastAsia"/>
          <w:sz w:val="20"/>
          <w:szCs w:val="20"/>
        </w:rPr>
        <w:t>：</w:t>
      </w:r>
      <w:r w:rsidRPr="0099586A">
        <w:rPr>
          <w:rFonts w:eastAsia="標楷體" w:hint="eastAsia"/>
          <w:sz w:val="20"/>
          <w:szCs w:val="20"/>
        </w:rPr>
        <w:t>//zhuanlan.zhihu.com/p/82872145 [Accessed</w:t>
      </w:r>
      <w:r w:rsidRPr="0099586A">
        <w:rPr>
          <w:rFonts w:eastAsia="標楷體" w:hint="eastAsia"/>
          <w:sz w:val="20"/>
          <w:szCs w:val="20"/>
        </w:rPr>
        <w:t>：</w:t>
      </w:r>
      <w:r w:rsidRPr="0099586A">
        <w:rPr>
          <w:rFonts w:eastAsia="標楷體" w:hint="eastAsia"/>
          <w:sz w:val="20"/>
          <w:szCs w:val="20"/>
        </w:rPr>
        <w:t xml:space="preserve"> Dec. 4, 2019]</w:t>
      </w:r>
    </w:p>
    <w:p w14:paraId="39D469DD" w14:textId="77777777"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Z. Wang and T. Oates, “Encoding time series as images for visual inspection classification using tiled convolutional neural network,” Proceedings of the Association for the Advancement of Artificial Intelligence (AAAI), 2015.</w:t>
      </w:r>
    </w:p>
    <w:p w14:paraId="665E4E10" w14:textId="448D0321" w:rsidR="0099586A" w:rsidRPr="0099586A" w:rsidRDefault="0099586A" w:rsidP="0099586A">
      <w:pPr>
        <w:numPr>
          <w:ilvl w:val="0"/>
          <w:numId w:val="7"/>
        </w:numPr>
        <w:snapToGrid w:val="0"/>
        <w:spacing w:after="60"/>
        <w:jc w:val="both"/>
        <w:rPr>
          <w:rFonts w:eastAsia="標楷體"/>
          <w:sz w:val="20"/>
          <w:szCs w:val="20"/>
        </w:rPr>
      </w:pPr>
      <w:r w:rsidRPr="0099586A">
        <w:rPr>
          <w:rFonts w:eastAsia="標楷體"/>
          <w:sz w:val="20"/>
          <w:szCs w:val="20"/>
        </w:rPr>
        <w:t xml:space="preserve">N. Hatami, Y. </w:t>
      </w:r>
      <w:proofErr w:type="spellStart"/>
      <w:r w:rsidRPr="0099586A">
        <w:rPr>
          <w:rFonts w:eastAsia="標楷體"/>
          <w:sz w:val="20"/>
          <w:szCs w:val="20"/>
        </w:rPr>
        <w:t>Gavet</w:t>
      </w:r>
      <w:proofErr w:type="spellEnd"/>
      <w:r w:rsidRPr="0099586A">
        <w:rPr>
          <w:rFonts w:eastAsia="標楷體"/>
          <w:sz w:val="20"/>
          <w:szCs w:val="20"/>
        </w:rPr>
        <w:t xml:space="preserve"> and J. </w:t>
      </w:r>
      <w:proofErr w:type="spellStart"/>
      <w:r w:rsidRPr="0099586A">
        <w:rPr>
          <w:rFonts w:eastAsia="標楷體"/>
          <w:sz w:val="20"/>
          <w:szCs w:val="20"/>
        </w:rPr>
        <w:t>Debayle</w:t>
      </w:r>
      <w:proofErr w:type="spellEnd"/>
      <w:r w:rsidRPr="0099586A">
        <w:rPr>
          <w:rFonts w:eastAsia="標楷體"/>
          <w:sz w:val="20"/>
          <w:szCs w:val="20"/>
        </w:rPr>
        <w:t>, “Classification of time-series images using deep convolutional neural network,” Proc. SPIE Tenth International Conference on Machine Vision (ICMV 2017), Apr. 2018.</w:t>
      </w:r>
    </w:p>
    <w:sectPr w:rsidR="0099586A" w:rsidRPr="0099586A">
      <w:type w:val="continuous"/>
      <w:pgSz w:w="11907" w:h="16840" w:code="9"/>
      <w:pgMar w:top="1418" w:right="1418" w:bottom="1418" w:left="1418" w:header="680" w:footer="680" w:gutter="0"/>
      <w:cols w:num="2"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4703" w14:textId="77777777" w:rsidR="009B7DC7" w:rsidRDefault="009B7DC7">
      <w:r>
        <w:separator/>
      </w:r>
    </w:p>
  </w:endnote>
  <w:endnote w:type="continuationSeparator" w:id="0">
    <w:p w14:paraId="5376E4A3" w14:textId="77777777" w:rsidR="009B7DC7" w:rsidRDefault="009B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FEBD" w14:textId="77777777" w:rsidR="00201356" w:rsidRDefault="0020135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592555A" w14:textId="77777777" w:rsidR="00201356" w:rsidRDefault="002013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0663" w14:textId="77777777" w:rsidR="009B7DC7" w:rsidRDefault="009B7DC7">
      <w:r>
        <w:separator/>
      </w:r>
    </w:p>
  </w:footnote>
  <w:footnote w:type="continuationSeparator" w:id="0">
    <w:p w14:paraId="62DFEA2D" w14:textId="77777777" w:rsidR="009B7DC7" w:rsidRDefault="009B7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2258" w14:textId="77777777" w:rsidR="00E94DB9" w:rsidRPr="00E94DB9" w:rsidRDefault="00E94DB9" w:rsidP="00E94DB9">
    <w:pPr>
      <w:pStyle w:val="a4"/>
      <w:rPr>
        <w:rFonts w:eastAsia="標楷體"/>
      </w:rPr>
    </w:pPr>
    <w:r w:rsidRPr="00E94DB9">
      <w:rPr>
        <w:rFonts w:eastAsia="標楷體"/>
      </w:rPr>
      <w:t xml:space="preserve">WCE 2023 </w:t>
    </w:r>
    <w:r w:rsidRPr="00E94DB9">
      <w:rPr>
        <w:rFonts w:eastAsia="標楷體"/>
      </w:rPr>
      <w:t>民生電子研討會．龍華科技大學</w:t>
    </w:r>
  </w:p>
  <w:p w14:paraId="715D5D83" w14:textId="77777777" w:rsidR="00E94DB9" w:rsidRPr="00E94DB9" w:rsidRDefault="00E94D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44D7"/>
    <w:multiLevelType w:val="singleLevel"/>
    <w:tmpl w:val="82D80F70"/>
    <w:lvl w:ilvl="0">
      <w:start w:val="1"/>
      <w:numFmt w:val="decimal"/>
      <w:lvlText w:val="%1."/>
      <w:lvlJc w:val="left"/>
      <w:pPr>
        <w:tabs>
          <w:tab w:val="num" w:pos="4"/>
        </w:tabs>
        <w:ind w:left="4" w:hanging="288"/>
      </w:pPr>
      <w:rPr>
        <w:rFonts w:hint="default"/>
      </w:rPr>
    </w:lvl>
  </w:abstractNum>
  <w:abstractNum w:abstractNumId="1" w15:restartNumberingAfterBreak="0">
    <w:nsid w:val="0CBE0941"/>
    <w:multiLevelType w:val="multilevel"/>
    <w:tmpl w:val="3510EFFE"/>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080"/>
        </w:tabs>
        <w:ind w:left="1080" w:hanging="360"/>
      </w:pPr>
      <w:rPr>
        <w:rFonts w:hint="eastAsia"/>
      </w:rPr>
    </w:lvl>
    <w:lvl w:ilvl="2">
      <w:start w:val="1"/>
      <w:numFmt w:val="decimal"/>
      <w:lvlText w:val="%3."/>
      <w:lvlJc w:val="left"/>
      <w:pPr>
        <w:tabs>
          <w:tab w:val="num" w:pos="1800"/>
        </w:tabs>
        <w:ind w:left="1800" w:hanging="360"/>
      </w:pPr>
      <w:rPr>
        <w:rFonts w:hint="eastAsia"/>
      </w:rPr>
    </w:lvl>
    <w:lvl w:ilvl="3">
      <w:start w:val="1"/>
      <w:numFmt w:val="decimal"/>
      <w:lvlText w:val="%4."/>
      <w:lvlJc w:val="left"/>
      <w:pPr>
        <w:tabs>
          <w:tab w:val="num" w:pos="2520"/>
        </w:tabs>
        <w:ind w:left="2520" w:hanging="360"/>
      </w:pPr>
      <w:rPr>
        <w:rFonts w:hint="eastAsia"/>
      </w:rPr>
    </w:lvl>
    <w:lvl w:ilvl="4">
      <w:start w:val="1"/>
      <w:numFmt w:val="decimal"/>
      <w:lvlText w:val="%5."/>
      <w:lvlJc w:val="left"/>
      <w:pPr>
        <w:tabs>
          <w:tab w:val="num" w:pos="3240"/>
        </w:tabs>
        <w:ind w:left="3240" w:hanging="360"/>
      </w:pPr>
      <w:rPr>
        <w:rFonts w:hint="eastAsia"/>
      </w:rPr>
    </w:lvl>
    <w:lvl w:ilvl="5">
      <w:start w:val="1"/>
      <w:numFmt w:val="decimal"/>
      <w:lvlText w:val="%6."/>
      <w:lvlJc w:val="left"/>
      <w:pPr>
        <w:tabs>
          <w:tab w:val="num" w:pos="3960"/>
        </w:tabs>
        <w:ind w:left="3960" w:hanging="360"/>
      </w:pPr>
      <w:rPr>
        <w:rFonts w:hint="eastAsia"/>
      </w:rPr>
    </w:lvl>
    <w:lvl w:ilvl="6">
      <w:start w:val="1"/>
      <w:numFmt w:val="decimal"/>
      <w:lvlText w:val="%7."/>
      <w:lvlJc w:val="left"/>
      <w:pPr>
        <w:tabs>
          <w:tab w:val="num" w:pos="4680"/>
        </w:tabs>
        <w:ind w:left="4680" w:hanging="360"/>
      </w:pPr>
      <w:rPr>
        <w:rFonts w:hint="eastAsia"/>
      </w:rPr>
    </w:lvl>
    <w:lvl w:ilvl="7">
      <w:start w:val="1"/>
      <w:numFmt w:val="decimal"/>
      <w:lvlText w:val="%8."/>
      <w:lvlJc w:val="left"/>
      <w:pPr>
        <w:tabs>
          <w:tab w:val="num" w:pos="5400"/>
        </w:tabs>
        <w:ind w:left="5400" w:hanging="360"/>
      </w:pPr>
      <w:rPr>
        <w:rFonts w:hint="eastAsia"/>
      </w:rPr>
    </w:lvl>
    <w:lvl w:ilvl="8">
      <w:start w:val="1"/>
      <w:numFmt w:val="decimal"/>
      <w:lvlText w:val="%9."/>
      <w:lvlJc w:val="left"/>
      <w:pPr>
        <w:tabs>
          <w:tab w:val="num" w:pos="6120"/>
        </w:tabs>
        <w:ind w:left="6120" w:hanging="360"/>
      </w:pPr>
      <w:rPr>
        <w:rFonts w:hint="eastAsia"/>
      </w:rPr>
    </w:lvl>
  </w:abstractNum>
  <w:abstractNum w:abstractNumId="2" w15:restartNumberingAfterBreak="0">
    <w:nsid w:val="49F57997"/>
    <w:multiLevelType w:val="hybridMultilevel"/>
    <w:tmpl w:val="C0DAEA7C"/>
    <w:lvl w:ilvl="0" w:tplc="2CAAF366">
      <w:start w:val="1"/>
      <w:numFmt w:val="lowerLetter"/>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50A93A10"/>
    <w:multiLevelType w:val="singleLevel"/>
    <w:tmpl w:val="7ED0552C"/>
    <w:lvl w:ilvl="0">
      <w:start w:val="1"/>
      <w:numFmt w:val="decimal"/>
      <w:lvlText w:val="%1."/>
      <w:lvlJc w:val="left"/>
      <w:pPr>
        <w:tabs>
          <w:tab w:val="num" w:pos="76"/>
        </w:tabs>
        <w:ind w:left="76" w:hanging="360"/>
      </w:pPr>
      <w:rPr>
        <w:rFonts w:hint="default"/>
      </w:rPr>
    </w:lvl>
  </w:abstractNum>
  <w:abstractNum w:abstractNumId="4" w15:restartNumberingAfterBreak="0">
    <w:nsid w:val="512C4365"/>
    <w:multiLevelType w:val="singleLevel"/>
    <w:tmpl w:val="7882A942"/>
    <w:lvl w:ilvl="0">
      <w:start w:val="1"/>
      <w:numFmt w:val="decimal"/>
      <w:lvlText w:val="%1."/>
      <w:lvlJc w:val="left"/>
      <w:pPr>
        <w:tabs>
          <w:tab w:val="num" w:pos="300"/>
        </w:tabs>
        <w:ind w:left="300" w:hanging="300"/>
      </w:pPr>
      <w:rPr>
        <w:rFonts w:hint="default"/>
      </w:rPr>
    </w:lvl>
  </w:abstractNum>
  <w:abstractNum w:abstractNumId="5" w15:restartNumberingAfterBreak="0">
    <w:nsid w:val="567521BC"/>
    <w:multiLevelType w:val="singleLevel"/>
    <w:tmpl w:val="BB30D31C"/>
    <w:lvl w:ilvl="0">
      <w:start w:val="1"/>
      <w:numFmt w:val="decimal"/>
      <w:lvlText w:val="[%1]"/>
      <w:lvlJc w:val="left"/>
      <w:pPr>
        <w:tabs>
          <w:tab w:val="num" w:pos="288"/>
        </w:tabs>
        <w:ind w:left="288" w:hanging="288"/>
      </w:pPr>
      <w:rPr>
        <w:rFonts w:hint="default"/>
      </w:rPr>
    </w:lvl>
  </w:abstractNum>
  <w:abstractNum w:abstractNumId="6" w15:restartNumberingAfterBreak="0">
    <w:nsid w:val="5DDE6017"/>
    <w:multiLevelType w:val="multilevel"/>
    <w:tmpl w:val="45E619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432"/>
        </w:tabs>
        <w:ind w:left="432" w:hanging="432"/>
      </w:pPr>
      <w:rPr>
        <w:rFonts w:hint="default"/>
      </w:rPr>
    </w:lvl>
    <w:lvl w:ilvl="3">
      <w:start w:val="1"/>
      <w:numFmt w:val="decimal"/>
      <w:isLgl/>
      <w:lvlText w:val="%1.%2.%3.%4"/>
      <w:lvlJc w:val="left"/>
      <w:pPr>
        <w:tabs>
          <w:tab w:val="num" w:pos="432"/>
        </w:tabs>
        <w:ind w:left="432" w:hanging="432"/>
      </w:pPr>
      <w:rPr>
        <w:rFonts w:hint="default"/>
      </w:rPr>
    </w:lvl>
    <w:lvl w:ilvl="4">
      <w:start w:val="1"/>
      <w:numFmt w:val="decimal"/>
      <w:isLgl/>
      <w:lvlText w:val="%1.%2.%3.%4.%5"/>
      <w:lvlJc w:val="left"/>
      <w:pPr>
        <w:tabs>
          <w:tab w:val="num" w:pos="432"/>
        </w:tabs>
        <w:ind w:left="432" w:hanging="432"/>
      </w:pPr>
      <w:rPr>
        <w:rFonts w:hint="default"/>
      </w:rPr>
    </w:lvl>
    <w:lvl w:ilvl="5">
      <w:start w:val="1"/>
      <w:numFmt w:val="decimal"/>
      <w:isLgl/>
      <w:lvlText w:val="%1.%2.%3.%4.%5.%6"/>
      <w:lvlJc w:val="left"/>
      <w:pPr>
        <w:tabs>
          <w:tab w:val="num" w:pos="432"/>
        </w:tabs>
        <w:ind w:left="432" w:hanging="432"/>
      </w:pPr>
      <w:rPr>
        <w:rFonts w:hint="default"/>
      </w:rPr>
    </w:lvl>
    <w:lvl w:ilvl="6">
      <w:start w:val="1"/>
      <w:numFmt w:val="decimal"/>
      <w:isLgl/>
      <w:lvlText w:val="%1.%2.%3.%4.%5.%6.%7"/>
      <w:lvlJc w:val="left"/>
      <w:pPr>
        <w:tabs>
          <w:tab w:val="num" w:pos="432"/>
        </w:tabs>
        <w:ind w:left="432" w:hanging="432"/>
      </w:pPr>
      <w:rPr>
        <w:rFonts w:hint="default"/>
      </w:rPr>
    </w:lvl>
    <w:lvl w:ilvl="7">
      <w:start w:val="1"/>
      <w:numFmt w:val="decimal"/>
      <w:isLgl/>
      <w:lvlText w:val="%1.%2.%3.%4.%5.%6.%7.%8"/>
      <w:lvlJc w:val="left"/>
      <w:pPr>
        <w:tabs>
          <w:tab w:val="num" w:pos="432"/>
        </w:tabs>
        <w:ind w:left="432" w:hanging="432"/>
      </w:pPr>
      <w:rPr>
        <w:rFonts w:hint="default"/>
      </w:rPr>
    </w:lvl>
    <w:lvl w:ilvl="8">
      <w:start w:val="1"/>
      <w:numFmt w:val="decimal"/>
      <w:isLgl/>
      <w:lvlText w:val="%1.%2.%3.%4.%5.%6.%7.%8.%9"/>
      <w:lvlJc w:val="left"/>
      <w:pPr>
        <w:tabs>
          <w:tab w:val="num" w:pos="432"/>
        </w:tabs>
        <w:ind w:left="432" w:hanging="432"/>
      </w:pPr>
      <w:rPr>
        <w:rFonts w:hint="default"/>
      </w:rPr>
    </w:lvl>
  </w:abstractNum>
  <w:abstractNum w:abstractNumId="7" w15:restartNumberingAfterBreak="0">
    <w:nsid w:val="6D48235D"/>
    <w:multiLevelType w:val="singleLevel"/>
    <w:tmpl w:val="1A3245AE"/>
    <w:lvl w:ilvl="0">
      <w:start w:val="1"/>
      <w:numFmt w:val="upperRoman"/>
      <w:pStyle w:val="3"/>
      <w:lvlText w:val="%1."/>
      <w:lvlJc w:val="left"/>
      <w:pPr>
        <w:tabs>
          <w:tab w:val="num" w:pos="216"/>
        </w:tabs>
        <w:ind w:left="216" w:hanging="216"/>
      </w:pPr>
      <w:rPr>
        <w:rFonts w:hint="default"/>
      </w:rPr>
    </w:lvl>
  </w:abstractNum>
  <w:abstractNum w:abstractNumId="8" w15:restartNumberingAfterBreak="0">
    <w:nsid w:val="77FC416C"/>
    <w:multiLevelType w:val="singleLevel"/>
    <w:tmpl w:val="2B7E03A2"/>
    <w:lvl w:ilvl="0">
      <w:start w:val="1"/>
      <w:numFmt w:val="decimal"/>
      <w:lvlText w:val="%1."/>
      <w:lvlJc w:val="left"/>
      <w:pPr>
        <w:tabs>
          <w:tab w:val="num" w:pos="16"/>
        </w:tabs>
        <w:ind w:left="16" w:hanging="300"/>
      </w:pPr>
      <w:rPr>
        <w:rFonts w:hint="default"/>
      </w:rPr>
    </w:lvl>
  </w:abstractNum>
  <w:num w:numId="1" w16cid:durableId="2114086720">
    <w:abstractNumId w:val="4"/>
  </w:num>
  <w:num w:numId="2" w16cid:durableId="915750948">
    <w:abstractNumId w:val="8"/>
  </w:num>
  <w:num w:numId="3" w16cid:durableId="1261839818">
    <w:abstractNumId w:val="0"/>
  </w:num>
  <w:num w:numId="4" w16cid:durableId="1702392010">
    <w:abstractNumId w:val="3"/>
  </w:num>
  <w:num w:numId="5" w16cid:durableId="1739328353">
    <w:abstractNumId w:val="7"/>
  </w:num>
  <w:num w:numId="6" w16cid:durableId="610667018">
    <w:abstractNumId w:val="6"/>
  </w:num>
  <w:num w:numId="7" w16cid:durableId="1671060090">
    <w:abstractNumId w:val="5"/>
  </w:num>
  <w:num w:numId="8" w16cid:durableId="483788221">
    <w:abstractNumId w:val="1"/>
  </w:num>
  <w:num w:numId="9" w16cid:durableId="79299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B0"/>
    <w:rsid w:val="0000062F"/>
    <w:rsid w:val="000118AF"/>
    <w:rsid w:val="00017117"/>
    <w:rsid w:val="00027CBE"/>
    <w:rsid w:val="00046802"/>
    <w:rsid w:val="000E3CD5"/>
    <w:rsid w:val="000F37E2"/>
    <w:rsid w:val="0011208F"/>
    <w:rsid w:val="0014435D"/>
    <w:rsid w:val="001543EA"/>
    <w:rsid w:val="001758B9"/>
    <w:rsid w:val="00182A77"/>
    <w:rsid w:val="001A3A93"/>
    <w:rsid w:val="001B127F"/>
    <w:rsid w:val="001D2BC6"/>
    <w:rsid w:val="001E4620"/>
    <w:rsid w:val="001F0524"/>
    <w:rsid w:val="00201356"/>
    <w:rsid w:val="002542F6"/>
    <w:rsid w:val="00267B86"/>
    <w:rsid w:val="00286D2C"/>
    <w:rsid w:val="00291938"/>
    <w:rsid w:val="002B2ABB"/>
    <w:rsid w:val="002F76B0"/>
    <w:rsid w:val="0032687B"/>
    <w:rsid w:val="00330CBA"/>
    <w:rsid w:val="0036039E"/>
    <w:rsid w:val="00362752"/>
    <w:rsid w:val="003A3883"/>
    <w:rsid w:val="003D2160"/>
    <w:rsid w:val="003D2F5F"/>
    <w:rsid w:val="003E168D"/>
    <w:rsid w:val="003E1829"/>
    <w:rsid w:val="00423BB4"/>
    <w:rsid w:val="00437543"/>
    <w:rsid w:val="00443784"/>
    <w:rsid w:val="00460663"/>
    <w:rsid w:val="00465938"/>
    <w:rsid w:val="004C624B"/>
    <w:rsid w:val="005137AA"/>
    <w:rsid w:val="00547090"/>
    <w:rsid w:val="0059416A"/>
    <w:rsid w:val="005A177E"/>
    <w:rsid w:val="005E7BCA"/>
    <w:rsid w:val="00601E00"/>
    <w:rsid w:val="00611EDE"/>
    <w:rsid w:val="006221E2"/>
    <w:rsid w:val="00644E01"/>
    <w:rsid w:val="006720A3"/>
    <w:rsid w:val="00694C33"/>
    <w:rsid w:val="00697ECE"/>
    <w:rsid w:val="006B6B72"/>
    <w:rsid w:val="006C70F7"/>
    <w:rsid w:val="006E6FCF"/>
    <w:rsid w:val="00722FA6"/>
    <w:rsid w:val="007530BC"/>
    <w:rsid w:val="00775F51"/>
    <w:rsid w:val="007817F6"/>
    <w:rsid w:val="007839DE"/>
    <w:rsid w:val="007870B5"/>
    <w:rsid w:val="00794F0C"/>
    <w:rsid w:val="007C1641"/>
    <w:rsid w:val="007C7860"/>
    <w:rsid w:val="007D065F"/>
    <w:rsid w:val="007D108C"/>
    <w:rsid w:val="007F72F1"/>
    <w:rsid w:val="00800F1F"/>
    <w:rsid w:val="00811D1B"/>
    <w:rsid w:val="0081629E"/>
    <w:rsid w:val="00830245"/>
    <w:rsid w:val="0085061B"/>
    <w:rsid w:val="00850F24"/>
    <w:rsid w:val="00862D32"/>
    <w:rsid w:val="00890FCE"/>
    <w:rsid w:val="00893E2E"/>
    <w:rsid w:val="008F219F"/>
    <w:rsid w:val="00940363"/>
    <w:rsid w:val="0095366A"/>
    <w:rsid w:val="0097550C"/>
    <w:rsid w:val="009850ED"/>
    <w:rsid w:val="009900A7"/>
    <w:rsid w:val="0099586A"/>
    <w:rsid w:val="009B11C0"/>
    <w:rsid w:val="009B33E6"/>
    <w:rsid w:val="009B7DC7"/>
    <w:rsid w:val="009C5307"/>
    <w:rsid w:val="00A04728"/>
    <w:rsid w:val="00A311B0"/>
    <w:rsid w:val="00A31793"/>
    <w:rsid w:val="00A320A7"/>
    <w:rsid w:val="00A3495F"/>
    <w:rsid w:val="00A45AB8"/>
    <w:rsid w:val="00A85BE2"/>
    <w:rsid w:val="00AB6335"/>
    <w:rsid w:val="00AD7850"/>
    <w:rsid w:val="00AF40A8"/>
    <w:rsid w:val="00B104B7"/>
    <w:rsid w:val="00B26802"/>
    <w:rsid w:val="00B41831"/>
    <w:rsid w:val="00B8399E"/>
    <w:rsid w:val="00B97DB7"/>
    <w:rsid w:val="00BC2093"/>
    <w:rsid w:val="00BF5B71"/>
    <w:rsid w:val="00C071FA"/>
    <w:rsid w:val="00C331A3"/>
    <w:rsid w:val="00C60D85"/>
    <w:rsid w:val="00C60EF0"/>
    <w:rsid w:val="00C83F21"/>
    <w:rsid w:val="00CC4517"/>
    <w:rsid w:val="00CC47C5"/>
    <w:rsid w:val="00CE5D42"/>
    <w:rsid w:val="00CF1854"/>
    <w:rsid w:val="00CF21FA"/>
    <w:rsid w:val="00D07384"/>
    <w:rsid w:val="00D15FA6"/>
    <w:rsid w:val="00D24E4C"/>
    <w:rsid w:val="00D34014"/>
    <w:rsid w:val="00D402F4"/>
    <w:rsid w:val="00D42276"/>
    <w:rsid w:val="00D52418"/>
    <w:rsid w:val="00D54EA7"/>
    <w:rsid w:val="00D609E0"/>
    <w:rsid w:val="00D61FA7"/>
    <w:rsid w:val="00D77990"/>
    <w:rsid w:val="00D84BAC"/>
    <w:rsid w:val="00D90566"/>
    <w:rsid w:val="00D97F29"/>
    <w:rsid w:val="00DA6C29"/>
    <w:rsid w:val="00DB19FA"/>
    <w:rsid w:val="00DB65CD"/>
    <w:rsid w:val="00DC3758"/>
    <w:rsid w:val="00E01E9C"/>
    <w:rsid w:val="00E2502D"/>
    <w:rsid w:val="00E25E0E"/>
    <w:rsid w:val="00E4226E"/>
    <w:rsid w:val="00E94DB9"/>
    <w:rsid w:val="00EC7451"/>
    <w:rsid w:val="00ED1171"/>
    <w:rsid w:val="00ED1467"/>
    <w:rsid w:val="00EE7066"/>
    <w:rsid w:val="00F00AE7"/>
    <w:rsid w:val="00F14006"/>
    <w:rsid w:val="00F46504"/>
    <w:rsid w:val="00F62553"/>
    <w:rsid w:val="00F941F2"/>
    <w:rsid w:val="00FB5622"/>
    <w:rsid w:val="00FF19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67A1E4F2"/>
  <w15:chartTrackingRefBased/>
  <w15:docId w15:val="{282BF73F-E645-4765-A75E-B6D300E7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b/>
      <w:szCs w:val="20"/>
    </w:rPr>
  </w:style>
  <w:style w:type="paragraph" w:styleId="2">
    <w:name w:val="heading 2"/>
    <w:basedOn w:val="a"/>
    <w:next w:val="a0"/>
    <w:qFormat/>
    <w:pPr>
      <w:keepNext/>
      <w:outlineLvl w:val="1"/>
    </w:pPr>
    <w:rPr>
      <w:rFonts w:eastAsia="標楷體"/>
      <w:b/>
      <w:szCs w:val="20"/>
    </w:rPr>
  </w:style>
  <w:style w:type="paragraph" w:styleId="3">
    <w:name w:val="heading 3"/>
    <w:basedOn w:val="a"/>
    <w:next w:val="a0"/>
    <w:qFormat/>
    <w:pPr>
      <w:keepNext/>
      <w:numPr>
        <w:numId w:val="5"/>
      </w:numPr>
      <w:outlineLvl w:val="2"/>
    </w:pPr>
    <w:rPr>
      <w:rFonts w:eastAsia="標楷體"/>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rPr>
      <w:szCs w:val="20"/>
    </w:rPr>
  </w:style>
  <w:style w:type="paragraph" w:styleId="a4">
    <w:name w:val="header"/>
    <w:basedOn w:val="a"/>
    <w:pPr>
      <w:tabs>
        <w:tab w:val="center" w:pos="4153"/>
        <w:tab w:val="right" w:pos="8306"/>
      </w:tabs>
      <w:snapToGrid w:val="0"/>
    </w:pPr>
    <w:rPr>
      <w:sz w:val="20"/>
      <w:szCs w:val="20"/>
    </w:rPr>
  </w:style>
  <w:style w:type="paragraph" w:styleId="a5">
    <w:name w:val="Body Text Indent"/>
    <w:basedOn w:val="a"/>
    <w:pPr>
      <w:ind w:firstLine="432"/>
    </w:pPr>
    <w:rPr>
      <w:rFonts w:eastAsia="標楷體"/>
      <w:sz w:val="20"/>
      <w:szCs w:val="20"/>
    </w:rPr>
  </w:style>
  <w:style w:type="paragraph" w:styleId="a6">
    <w:name w:val="caption"/>
    <w:basedOn w:val="a"/>
    <w:next w:val="a"/>
    <w:qFormat/>
    <w:pPr>
      <w:spacing w:before="120" w:after="120"/>
    </w:pPr>
    <w:rPr>
      <w:sz w:val="20"/>
      <w:szCs w:val="20"/>
    </w:rPr>
  </w:style>
  <w:style w:type="character" w:styleId="a7">
    <w:name w:val="page number"/>
    <w:basedOn w:val="a1"/>
  </w:style>
  <w:style w:type="paragraph" w:styleId="a8">
    <w:name w:val="footer"/>
    <w:basedOn w:val="a"/>
    <w:pPr>
      <w:tabs>
        <w:tab w:val="center" w:pos="4153"/>
        <w:tab w:val="right" w:pos="8306"/>
      </w:tabs>
      <w:snapToGrid w:val="0"/>
    </w:pPr>
    <w:rPr>
      <w:sz w:val="20"/>
      <w:szCs w:val="20"/>
    </w:rPr>
  </w:style>
  <w:style w:type="paragraph" w:styleId="a9">
    <w:name w:val="Balloon Text"/>
    <w:basedOn w:val="a"/>
    <w:semiHidden/>
    <w:rsid w:val="002F76B0"/>
    <w:rPr>
      <w:rFonts w:ascii="Arial" w:hAnsi="Arial"/>
      <w:sz w:val="18"/>
      <w:szCs w:val="18"/>
    </w:rPr>
  </w:style>
  <w:style w:type="character" w:styleId="aa">
    <w:name w:val="Hyperlink"/>
    <w:rsid w:val="00AF40A8"/>
    <w:rPr>
      <w:color w:val="0000FF"/>
      <w:u w:val="single"/>
    </w:rPr>
  </w:style>
  <w:style w:type="table" w:styleId="ab">
    <w:name w:val="Table Grid"/>
    <w:basedOn w:val="a2"/>
    <w:rsid w:val="00DB19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32687B"/>
    <w:pPr>
      <w:shd w:val="clear" w:color="auto" w:fill="000080"/>
    </w:pPr>
    <w:rPr>
      <w:rFonts w:ascii="Arial" w:hAnsi="Arial"/>
    </w:rPr>
  </w:style>
  <w:style w:type="character" w:customStyle="1" w:styleId="10">
    <w:name w:val="未解析的提及項目1"/>
    <w:basedOn w:val="a1"/>
    <w:uiPriority w:val="99"/>
    <w:semiHidden/>
    <w:unhideWhenUsed/>
    <w:rsid w:val="00890FCE"/>
    <w:rPr>
      <w:color w:val="808080"/>
      <w:shd w:val="clear" w:color="auto" w:fill="E6E6E6"/>
    </w:rPr>
  </w:style>
  <w:style w:type="paragraph" w:customStyle="1" w:styleId="Abstract">
    <w:name w:val="摘要(Abstract)"/>
    <w:rsid w:val="00E94DB9"/>
    <w:pPr>
      <w:spacing w:line="480" w:lineRule="auto"/>
      <w:jc w:val="center"/>
    </w:pPr>
    <w:rPr>
      <w:rFonts w:eastAsia="標楷體"/>
      <w:b/>
      <w:kern w:val="2"/>
      <w:sz w:val="24"/>
      <w:szCs w:val="24"/>
    </w:rPr>
  </w:style>
  <w:style w:type="character" w:styleId="ad">
    <w:name w:val="Unresolved Mention"/>
    <w:basedOn w:val="a1"/>
    <w:uiPriority w:val="99"/>
    <w:semiHidden/>
    <w:unhideWhenUsed/>
    <w:rsid w:val="00E94DB9"/>
    <w:rPr>
      <w:color w:val="605E5C"/>
      <w:shd w:val="clear" w:color="auto" w:fill="E1DFDD"/>
    </w:rPr>
  </w:style>
  <w:style w:type="paragraph" w:styleId="ae">
    <w:name w:val="List Paragraph"/>
    <w:basedOn w:val="a"/>
    <w:uiPriority w:val="34"/>
    <w:qFormat/>
    <w:rsid w:val="00893E2E"/>
    <w:pPr>
      <w:ind w:leftChars="200" w:left="480"/>
    </w:pPr>
    <w:rPr>
      <w:rFonts w:asciiTheme="minorHAnsi" w:eastAsiaTheme="minorEastAsia" w:hAnsiTheme="minorHAnsi" w:cstheme="minorBidi"/>
      <w:szCs w:val="22"/>
    </w:rPr>
  </w:style>
  <w:style w:type="paragraph" w:styleId="af">
    <w:name w:val="Date"/>
    <w:basedOn w:val="a"/>
    <w:next w:val="a"/>
    <w:link w:val="af0"/>
    <w:rsid w:val="00017117"/>
    <w:pPr>
      <w:jc w:val="right"/>
    </w:pPr>
  </w:style>
  <w:style w:type="character" w:customStyle="1" w:styleId="af0">
    <w:name w:val="日期 字元"/>
    <w:basedOn w:val="a1"/>
    <w:link w:val="af"/>
    <w:rsid w:val="0001711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1372</Words>
  <Characters>7825</Characters>
  <Application>Microsoft Office Word</Application>
  <DocSecurity>0</DocSecurity>
  <Lines>65</Lines>
  <Paragraphs>18</Paragraphs>
  <ScaleCrop>false</ScaleCrop>
  <Company>CMT</Company>
  <LinksUpToDate>false</LinksUpToDate>
  <CharactersWithSpaces>9179</CharactersWithSpaces>
  <SharedDoc>false</SharedDoc>
  <HLinks>
    <vt:vector size="6" baseType="variant">
      <vt:variant>
        <vt:i4>6946877</vt:i4>
      </vt:variant>
      <vt:variant>
        <vt:i4>0</vt:i4>
      </vt:variant>
      <vt:variant>
        <vt:i4>0</vt:i4>
      </vt:variant>
      <vt:variant>
        <vt:i4>5</vt:i4>
      </vt:variant>
      <vt:variant>
        <vt:lpwstr>http://wce2013.niu.edu.tw/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TAAI 論文格式</dc:title>
  <dc:subject/>
  <dc:creator>Yggdrasil</dc:creator>
  <cp:keywords/>
  <cp:lastModifiedBy>張舜雅</cp:lastModifiedBy>
  <cp:revision>4</cp:revision>
  <cp:lastPrinted>2013-04-23T08:39:00Z</cp:lastPrinted>
  <dcterms:created xsi:type="dcterms:W3CDTF">2023-10-05T05:35:00Z</dcterms:created>
  <dcterms:modified xsi:type="dcterms:W3CDTF">2023-10-05T06:42:00Z</dcterms:modified>
</cp:coreProperties>
</file>